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84"/>
          <w:szCs w:val="84"/>
        </w:rPr>
      </w:pPr>
      <w:r>
        <w:rPr>
          <w:rFonts w:hint="eastAsia"/>
          <w:sz w:val="84"/>
          <w:szCs w:val="84"/>
        </w:rPr>
        <w:t>2021年度</w:t>
      </w:r>
    </w:p>
    <w:p>
      <w:pPr>
        <w:pStyle w:val="7"/>
        <w:jc w:val="center"/>
        <w:rPr>
          <w:sz w:val="84"/>
          <w:szCs w:val="84"/>
        </w:rPr>
      </w:pPr>
      <w:r>
        <w:rPr>
          <w:rFonts w:hint="eastAsia"/>
          <w:sz w:val="84"/>
          <w:szCs w:val="84"/>
          <w:lang w:eastAsia="zh-CN"/>
        </w:rPr>
        <w:t>益阳市卫生职业技术学校</w:t>
      </w:r>
      <w:r>
        <w:rPr>
          <w:rFonts w:hint="eastAsia"/>
          <w:sz w:val="84"/>
          <w:szCs w:val="84"/>
        </w:rPr>
        <w:t>部门决算</w:t>
      </w: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spacing w:line="540" w:lineRule="exact"/>
        <w:jc w:val="center"/>
        <w:rPr>
          <w:sz w:val="56"/>
          <w:szCs w:val="56"/>
        </w:rPr>
      </w:pPr>
    </w:p>
    <w:p>
      <w:pPr>
        <w:pStyle w:val="7"/>
        <w:spacing w:line="500" w:lineRule="exact"/>
        <w:jc w:val="center"/>
        <w:rPr>
          <w:b/>
          <w:sz w:val="36"/>
          <w:szCs w:val="28"/>
        </w:rPr>
      </w:pPr>
    </w:p>
    <w:p>
      <w:pPr>
        <w:pStyle w:val="7"/>
        <w:spacing w:line="500" w:lineRule="exact"/>
        <w:jc w:val="center"/>
        <w:rPr>
          <w:b/>
          <w:sz w:val="36"/>
          <w:szCs w:val="28"/>
        </w:rPr>
      </w:pPr>
    </w:p>
    <w:p>
      <w:pPr>
        <w:rPr>
          <w:rFonts w:hint="eastAsia"/>
          <w:b/>
          <w:sz w:val="36"/>
          <w:szCs w:val="28"/>
        </w:rPr>
      </w:pPr>
      <w:r>
        <w:rPr>
          <w:rFonts w:hint="eastAsia"/>
          <w:b/>
          <w:sz w:val="36"/>
          <w:szCs w:val="28"/>
        </w:rPr>
        <w:br w:type="page"/>
      </w:r>
    </w:p>
    <w:p>
      <w:pPr>
        <w:pStyle w:val="7"/>
        <w:spacing w:line="500" w:lineRule="exact"/>
        <w:jc w:val="center"/>
        <w:rPr>
          <w:b/>
          <w:sz w:val="36"/>
          <w:szCs w:val="28"/>
        </w:rPr>
      </w:pPr>
      <w:r>
        <w:rPr>
          <w:rFonts w:hint="eastAsia"/>
          <w:b/>
          <w:sz w:val="36"/>
          <w:szCs w:val="28"/>
        </w:rPr>
        <w:t>目录</w:t>
      </w:r>
    </w:p>
    <w:p>
      <w:pPr>
        <w:pStyle w:val="7"/>
        <w:spacing w:line="500" w:lineRule="exact"/>
        <w:rPr>
          <w:rFonts w:ascii="仿宋_GB2312" w:hAnsi="仿宋_GB2312" w:cs="仿宋_GB2312"/>
          <w:b/>
          <w:sz w:val="28"/>
          <w:szCs w:val="28"/>
        </w:rPr>
      </w:pPr>
      <w:r>
        <w:rPr>
          <w:rFonts w:hint="eastAsia"/>
          <w:b/>
          <w:sz w:val="28"/>
          <w:szCs w:val="28"/>
        </w:rPr>
        <w:t>第一部分单位概况</w:t>
      </w:r>
    </w:p>
    <w:p>
      <w:pPr>
        <w:pStyle w:val="7"/>
        <w:spacing w:line="500" w:lineRule="exact"/>
        <w:ind w:firstLine="703" w:firstLineChars="250"/>
        <w:rPr>
          <w:rFonts w:cs="仿宋_GB2312" w:asciiTheme="minorEastAsia" w:hAnsiTheme="minorEastAsia" w:eastAsiaTheme="minorEastAsia"/>
          <w:b/>
          <w:bCs/>
          <w:sz w:val="28"/>
          <w:szCs w:val="28"/>
        </w:rPr>
      </w:pPr>
      <w:r>
        <w:rPr>
          <w:rFonts w:cs="仿宋_GB2312" w:asciiTheme="minorEastAsia" w:hAnsiTheme="minorEastAsia" w:eastAsiaTheme="minorEastAsia"/>
          <w:b/>
          <w:bCs/>
          <w:sz w:val="28"/>
          <w:szCs w:val="28"/>
        </w:rPr>
        <w:t>一、部门职责</w:t>
      </w:r>
    </w:p>
    <w:p>
      <w:pPr>
        <w:pStyle w:val="7"/>
        <w:spacing w:line="500" w:lineRule="exact"/>
        <w:ind w:firstLine="703" w:firstLineChars="250"/>
        <w:rPr>
          <w:rFonts w:cs="仿宋_GB2312" w:asciiTheme="minorEastAsia" w:hAnsiTheme="minorEastAsia" w:eastAsiaTheme="minorEastAsia"/>
          <w:b/>
          <w:bCs/>
          <w:sz w:val="28"/>
          <w:szCs w:val="28"/>
        </w:rPr>
      </w:pPr>
      <w:r>
        <w:rPr>
          <w:rFonts w:cs="仿宋_GB2312" w:asciiTheme="minorEastAsia" w:hAnsiTheme="minorEastAsia" w:eastAsiaTheme="minorEastAsia"/>
          <w:b/>
          <w:bCs/>
          <w:sz w:val="28"/>
          <w:szCs w:val="28"/>
        </w:rPr>
        <w:t>二、机构设置</w:t>
      </w:r>
    </w:p>
    <w:p>
      <w:pPr>
        <w:pStyle w:val="7"/>
        <w:spacing w:line="500" w:lineRule="exact"/>
        <w:rPr>
          <w:rFonts w:ascii="仿宋_GB2312" w:hAnsi="仿宋_GB2312" w:cs="仿宋_GB2312"/>
          <w:b/>
          <w:sz w:val="28"/>
          <w:szCs w:val="28"/>
        </w:rPr>
      </w:pPr>
      <w:r>
        <w:rPr>
          <w:rFonts w:hint="eastAsia" w:hAnsi="仿宋_GB2312"/>
          <w:b/>
          <w:sz w:val="28"/>
          <w:szCs w:val="28"/>
        </w:rPr>
        <w:t>第二部分</w:t>
      </w:r>
      <w:bookmarkStart w:id="0" w:name="_GoBack"/>
      <w:r>
        <w:rPr>
          <w:rFonts w:hAnsi="仿宋_GB2312"/>
          <w:b/>
          <w:sz w:val="28"/>
          <w:szCs w:val="28"/>
        </w:rPr>
        <w:t>20</w:t>
      </w:r>
      <w:r>
        <w:rPr>
          <w:rFonts w:hint="eastAsia" w:hAnsi="仿宋_GB2312"/>
          <w:b/>
          <w:sz w:val="28"/>
          <w:szCs w:val="28"/>
        </w:rPr>
        <w:t>21年度部门决算表</w:t>
      </w:r>
      <w:bookmarkEnd w:id="0"/>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7"/>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7"/>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lang w:eastAsia="zh-CN"/>
        </w:rPr>
      </w:pPr>
      <w:r>
        <w:rPr>
          <w:rFonts w:hint="eastAsia" w:ascii="仿宋_GB2312" w:hAnsi="仿宋_GB2312" w:cs="仿宋_GB2312"/>
          <w:color w:val="000000"/>
          <w:kern w:val="0"/>
          <w:sz w:val="28"/>
          <w:szCs w:val="28"/>
          <w:lang w:eastAsia="zh-CN"/>
        </w:rPr>
        <w:t>九、</w:t>
      </w:r>
      <w:r>
        <w:rPr>
          <w:rFonts w:hint="eastAsia" w:ascii="宋体" w:hAnsi="宋体" w:eastAsia="宋体" w:cs="宋体"/>
          <w:sz w:val="28"/>
          <w:szCs w:val="28"/>
        </w:rPr>
        <w:t>国有资本经营预算财政拨款收入支出决算表</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7"/>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7"/>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rPr>
          <w:rFonts w:hint="eastAsia"/>
          <w:sz w:val="84"/>
          <w:szCs w:val="84"/>
        </w:rPr>
      </w:pPr>
      <w:r>
        <w:rPr>
          <w:rFonts w:hint="eastAsia"/>
          <w:sz w:val="84"/>
          <w:szCs w:val="84"/>
        </w:rPr>
        <w:br w:type="page"/>
      </w:r>
    </w:p>
    <w:p>
      <w:pPr>
        <w:spacing w:line="360" w:lineRule="auto"/>
        <w:jc w:val="center"/>
        <w:rPr>
          <w:rFonts w:hint="eastAsia" w:ascii="黑体" w:hAnsi="黑体" w:eastAsia="黑体" w:cs="黑体"/>
          <w:sz w:val="52"/>
          <w:szCs w:val="52"/>
        </w:rPr>
      </w:pPr>
      <w:r>
        <w:rPr>
          <w:rFonts w:hint="eastAsia" w:ascii="黑体" w:hAnsi="黑体" w:eastAsia="黑体" w:cs="黑体"/>
          <w:sz w:val="52"/>
          <w:szCs w:val="52"/>
        </w:rPr>
        <w:t>第一部分</w:t>
      </w:r>
    </w:p>
    <w:p>
      <w:pPr>
        <w:pStyle w:val="2"/>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益阳市卫生职业技术学校单位概况</w:t>
      </w:r>
    </w:p>
    <w:p>
      <w:pPr>
        <w:spacing w:line="360" w:lineRule="auto"/>
        <w:ind w:firstLine="640" w:firstLineChars="200"/>
        <w:rPr>
          <w:rFonts w:hint="eastAsia" w:ascii="黑体" w:hAnsi="黑体" w:eastAsia="黑体"/>
          <w:sz w:val="32"/>
          <w:szCs w:val="32"/>
          <w:lang w:eastAsia="zh-CN"/>
        </w:rPr>
      </w:pPr>
      <w:r>
        <w:rPr>
          <w:rFonts w:hint="eastAsia" w:ascii="黑体" w:hAnsi="黑体" w:eastAsia="黑体"/>
          <w:sz w:val="32"/>
          <w:szCs w:val="32"/>
        </w:rPr>
        <w:t>一、部门</w:t>
      </w:r>
      <w:r>
        <w:rPr>
          <w:rFonts w:hint="eastAsia" w:ascii="黑体" w:hAnsi="黑体" w:eastAsia="黑体"/>
          <w:sz w:val="32"/>
          <w:szCs w:val="32"/>
          <w:lang w:eastAsia="zh-CN"/>
        </w:rPr>
        <w:t>职责</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办学宗旨：以习近平新时代中国特色社会主义思想为指导，以服务为宗旨，以就业为导向，以培养与我国社会主义现代化建设要求相适应、与就业岗位要求相符合，为卫生事业发展服务的技能型高素质劳动者为目标。</w:t>
      </w:r>
    </w:p>
    <w:p>
      <w:pPr>
        <w:spacing w:line="360" w:lineRule="auto"/>
        <w:ind w:firstLine="320" w:firstLineChars="1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学校为公立中等职业学校，隶属于赫山区人民政府。学校实行学历教育、职业培训相结合，职前教育和职后教育相结合。学校实行全日制和非全日制相结合的教育形式。实施学历教育，主要招收初、高中毕业生和具有同等学历的人员，学制三年制。</w:t>
      </w:r>
    </w:p>
    <w:p>
      <w:pPr>
        <w:spacing w:line="360" w:lineRule="auto"/>
        <w:ind w:firstLine="320" w:firstLineChars="100"/>
        <w:rPr>
          <w:rFonts w:hint="eastAsia" w:ascii="仿宋" w:hAnsi="仿宋" w:eastAsia="仿宋"/>
          <w:sz w:val="32"/>
          <w:szCs w:val="32"/>
          <w:lang w:eastAsia="zh-CN"/>
        </w:rPr>
      </w:pPr>
      <w:r>
        <w:rPr>
          <w:rFonts w:hint="eastAsia" w:ascii="仿宋" w:hAnsi="仿宋" w:eastAsia="仿宋"/>
          <w:sz w:val="32"/>
          <w:szCs w:val="32"/>
          <w:lang w:eastAsia="zh-CN"/>
        </w:rPr>
        <w:t>（三）</w:t>
      </w:r>
      <w:r>
        <w:rPr>
          <w:rFonts w:hint="eastAsia" w:ascii="仿宋" w:hAnsi="仿宋" w:eastAsia="仿宋"/>
          <w:sz w:val="32"/>
          <w:szCs w:val="32"/>
        </w:rPr>
        <w:t>学校实行校长负责、校党委保证监督和教职工民主管理三位一体的管理体制</w:t>
      </w:r>
      <w:r>
        <w:rPr>
          <w:rFonts w:hint="eastAsia" w:ascii="仿宋" w:hAnsi="仿宋" w:eastAsia="仿宋"/>
          <w:sz w:val="32"/>
          <w:szCs w:val="32"/>
          <w:lang w:eastAsia="zh-CN"/>
        </w:rPr>
        <w:t>。</w:t>
      </w: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机构设置</w:t>
      </w:r>
      <w:r>
        <w:rPr>
          <w:rFonts w:hint="eastAsia" w:ascii="黑体" w:hAnsi="黑体" w:eastAsia="黑体" w:cs="黑体"/>
          <w:sz w:val="32"/>
          <w:szCs w:val="32"/>
          <w:lang w:eastAsia="zh-CN"/>
        </w:rPr>
        <w:t>及决算单位构成</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lang w:eastAsia="zh-CN"/>
        </w:rPr>
        <w:t>（一）内设机构设置。益阳市卫生职业技术学校内设机构包括：</w:t>
      </w:r>
      <w:r>
        <w:rPr>
          <w:rFonts w:hint="eastAsia" w:ascii="仿宋" w:hAnsi="仿宋" w:eastAsia="仿宋"/>
          <w:sz w:val="32"/>
          <w:szCs w:val="32"/>
        </w:rPr>
        <w:t>办公室、招生与就业科、教务科、学保科、继续教育科、财务科、后勤服务科、思想政治教育科、纪检监督室等职能</w:t>
      </w:r>
      <w:r>
        <w:rPr>
          <w:rFonts w:hint="eastAsia" w:ascii="仿宋" w:hAnsi="仿宋" w:eastAsia="仿宋"/>
          <w:sz w:val="32"/>
          <w:szCs w:val="32"/>
          <w:lang w:eastAsia="zh-CN"/>
        </w:rPr>
        <w:t>科室</w:t>
      </w:r>
      <w:r>
        <w:rPr>
          <w:rFonts w:hint="eastAsia" w:ascii="仿宋" w:hAnsi="仿宋" w:eastAsia="仿宋"/>
          <w:sz w:val="32"/>
          <w:szCs w:val="32"/>
        </w:rPr>
        <w:t>。</w:t>
      </w:r>
    </w:p>
    <w:p>
      <w:pPr>
        <w:spacing w:line="360" w:lineRule="auto"/>
        <w:ind w:firstLine="320" w:firstLineChars="100"/>
        <w:rPr>
          <w:rFonts w:hint="default" w:ascii="仿宋" w:hAnsi="仿宋" w:eastAsia="仿宋"/>
          <w:sz w:val="32"/>
          <w:szCs w:val="32"/>
          <w:lang w:val="en-US"/>
        </w:rPr>
      </w:pPr>
      <w:r>
        <w:rPr>
          <w:rFonts w:hint="eastAsia" w:ascii="仿宋" w:hAnsi="仿宋" w:eastAsia="仿宋"/>
          <w:sz w:val="32"/>
          <w:szCs w:val="32"/>
          <w:lang w:eastAsia="zh-CN"/>
        </w:rPr>
        <w:t>（二）决算单位构成。益阳市卫生职业技术学校</w:t>
      </w:r>
      <w:r>
        <w:rPr>
          <w:rFonts w:hint="eastAsia" w:ascii="仿宋" w:hAnsi="仿宋" w:eastAsia="仿宋"/>
          <w:sz w:val="32"/>
          <w:szCs w:val="32"/>
          <w:lang w:val="en-US" w:eastAsia="zh-CN"/>
        </w:rPr>
        <w:t>2021年部门决算汇总公开单位构成包括：益阳市卫生职业技术学校本级。</w:t>
      </w: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jc w:val="center"/>
        <w:rPr>
          <w:rFonts w:hint="eastAsia" w:ascii="黑体" w:hAnsi="黑体" w:eastAsia="黑体" w:cs="黑体"/>
          <w:sz w:val="52"/>
          <w:szCs w:val="52"/>
        </w:rPr>
      </w:pPr>
      <w:r>
        <w:rPr>
          <w:rFonts w:hint="eastAsia" w:ascii="黑体" w:hAnsi="黑体" w:eastAsia="黑体" w:cs="黑体"/>
          <w:sz w:val="52"/>
          <w:szCs w:val="52"/>
        </w:rPr>
        <w:t>第</w:t>
      </w:r>
      <w:r>
        <w:rPr>
          <w:rFonts w:hint="eastAsia" w:ascii="黑体" w:hAnsi="黑体" w:eastAsia="黑体" w:cs="黑体"/>
          <w:sz w:val="52"/>
          <w:szCs w:val="52"/>
          <w:lang w:eastAsia="zh-CN"/>
        </w:rPr>
        <w:t>二</w:t>
      </w:r>
      <w:r>
        <w:rPr>
          <w:rFonts w:hint="eastAsia" w:ascii="黑体" w:hAnsi="黑体" w:eastAsia="黑体" w:cs="黑体"/>
          <w:sz w:val="52"/>
          <w:szCs w:val="52"/>
        </w:rPr>
        <w:t>部分</w:t>
      </w:r>
    </w:p>
    <w:p>
      <w:pPr>
        <w:widowControl w:val="0"/>
        <w:spacing w:line="560" w:lineRule="exact"/>
        <w:jc w:val="center"/>
        <w:rPr>
          <w:rFonts w:hint="eastAsia" w:ascii="黑体" w:hAnsi="黑体" w:eastAsia="黑体" w:cs="黑体"/>
          <w:sz w:val="52"/>
          <w:szCs w:val="52"/>
          <w:highlight w:val="white"/>
        </w:rPr>
      </w:pPr>
      <w:r>
        <w:rPr>
          <w:rFonts w:hint="eastAsia" w:ascii="黑体" w:hAnsi="黑体" w:eastAsia="黑体" w:cs="黑体"/>
          <w:sz w:val="52"/>
          <w:szCs w:val="52"/>
          <w:highlight w:val="white"/>
        </w:rPr>
        <w:t>202</w:t>
      </w:r>
      <w:r>
        <w:rPr>
          <w:rFonts w:hint="eastAsia" w:ascii="黑体" w:hAnsi="黑体" w:eastAsia="黑体" w:cs="黑体"/>
          <w:sz w:val="52"/>
          <w:szCs w:val="52"/>
          <w:highlight w:val="white"/>
          <w:lang w:val="en-US" w:eastAsia="zh-CN"/>
        </w:rPr>
        <w:t>1</w:t>
      </w:r>
      <w:r>
        <w:rPr>
          <w:rFonts w:hint="eastAsia" w:ascii="黑体" w:hAnsi="黑体" w:eastAsia="黑体" w:cs="黑体"/>
          <w:sz w:val="52"/>
          <w:szCs w:val="52"/>
          <w:highlight w:val="white"/>
        </w:rPr>
        <w:t>年度部门决算表（见附表）</w:t>
      </w:r>
    </w:p>
    <w:p>
      <w:pPr>
        <w:widowControl w:val="0"/>
        <w:spacing w:line="560" w:lineRule="exact"/>
        <w:ind w:firstLine="640" w:firstLineChars="200"/>
        <w:rPr>
          <w:rFonts w:hint="eastAsia" w:ascii="仿宋_GB2312" w:eastAsia="仿宋_GB2312"/>
          <w:sz w:val="32"/>
          <w:szCs w:val="32"/>
          <w:highlight w:val="white"/>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left"/>
        <w:rPr>
          <w:rFonts w:hint="eastAsia"/>
          <w:sz w:val="32"/>
          <w:szCs w:val="32"/>
        </w:rPr>
      </w:pPr>
    </w:p>
    <w:p>
      <w:pPr>
        <w:pStyle w:val="7"/>
        <w:jc w:val="center"/>
        <w:rPr>
          <w:rFonts w:hint="eastAsia" w:ascii="黑体" w:hAnsi="黑体" w:eastAsia="黑体" w:cs="黑体"/>
          <w:sz w:val="52"/>
          <w:szCs w:val="52"/>
        </w:rPr>
      </w:pPr>
      <w:r>
        <w:rPr>
          <w:rFonts w:hint="eastAsia" w:ascii="黑体" w:hAnsi="黑体" w:eastAsia="黑体" w:cs="黑体"/>
          <w:sz w:val="52"/>
          <w:szCs w:val="52"/>
        </w:rPr>
        <w:t>第</w:t>
      </w:r>
      <w:r>
        <w:rPr>
          <w:rFonts w:hint="eastAsia" w:hAnsi="黑体" w:cs="黑体"/>
          <w:sz w:val="52"/>
          <w:szCs w:val="52"/>
          <w:lang w:eastAsia="zh-CN"/>
        </w:rPr>
        <w:t>三</w:t>
      </w:r>
      <w:r>
        <w:rPr>
          <w:rFonts w:hint="eastAsia" w:ascii="黑体" w:hAnsi="黑体" w:eastAsia="黑体" w:cs="黑体"/>
          <w:sz w:val="52"/>
          <w:szCs w:val="52"/>
        </w:rPr>
        <w:t>部分</w:t>
      </w:r>
    </w:p>
    <w:p>
      <w:pPr>
        <w:pStyle w:val="7"/>
        <w:jc w:val="center"/>
        <w:rPr>
          <w:sz w:val="52"/>
          <w:szCs w:val="52"/>
        </w:rPr>
      </w:pPr>
      <w:r>
        <w:rPr>
          <w:sz w:val="52"/>
          <w:szCs w:val="52"/>
        </w:rPr>
        <w:t>20</w:t>
      </w:r>
      <w:r>
        <w:rPr>
          <w:rFonts w:hint="eastAsia"/>
          <w:sz w:val="52"/>
          <w:szCs w:val="52"/>
        </w:rPr>
        <w:t>21年度部门决算情况说明</w:t>
      </w:r>
    </w:p>
    <w:p>
      <w:pPr>
        <w:pStyle w:val="7"/>
        <w:rPr>
          <w:rFonts w:hAnsi="黑体"/>
          <w:b/>
          <w:sz w:val="32"/>
          <w:szCs w:val="32"/>
        </w:rPr>
      </w:pPr>
      <w:r>
        <w:rPr>
          <w:rFonts w:hint="eastAsia" w:hAnsi="黑体"/>
          <w:b/>
          <w:sz w:val="32"/>
          <w:szCs w:val="32"/>
        </w:rPr>
        <w:t>一、收入支出决算总体情况说明</w:t>
      </w:r>
    </w:p>
    <w:p>
      <w:pPr>
        <w:snapToGrid w:val="0"/>
        <w:spacing w:line="520" w:lineRule="exact"/>
        <w:ind w:firstLine="640" w:firstLineChars="200"/>
        <w:rPr>
          <w:rFonts w:hint="eastAsia" w:ascii="仿宋_GB2312" w:hAnsi="仿宋" w:eastAsia="仿宋"/>
          <w:color w:val="000000"/>
          <w:sz w:val="32"/>
          <w:szCs w:val="32"/>
          <w:lang w:eastAsia="zh-CN"/>
        </w:rPr>
      </w:pPr>
      <w:r>
        <w:rPr>
          <w:rFonts w:hint="eastAsia" w:ascii="仿宋" w:hAnsi="仿宋" w:eastAsia="仿宋"/>
          <w:color w:val="000000"/>
          <w:kern w:val="1"/>
          <w:sz w:val="32"/>
          <w:szCs w:val="24"/>
        </w:rPr>
        <w:t>20</w:t>
      </w:r>
      <w:r>
        <w:rPr>
          <w:rFonts w:hint="eastAsia" w:ascii="仿宋" w:hAnsi="仿宋" w:eastAsia="仿宋"/>
          <w:color w:val="000000"/>
          <w:kern w:val="1"/>
          <w:sz w:val="32"/>
          <w:szCs w:val="24"/>
          <w:lang w:val="en-US" w:eastAsia="zh-CN"/>
        </w:rPr>
        <w:t>21</w:t>
      </w:r>
      <w:r>
        <w:rPr>
          <w:rFonts w:hint="eastAsia" w:ascii="仿宋" w:hAnsi="仿宋" w:eastAsia="仿宋"/>
          <w:color w:val="000000"/>
          <w:kern w:val="1"/>
          <w:sz w:val="32"/>
          <w:szCs w:val="24"/>
        </w:rPr>
        <w:t>年</w:t>
      </w:r>
      <w:r>
        <w:rPr>
          <w:rFonts w:hint="eastAsia" w:ascii="仿宋" w:hAnsi="仿宋" w:eastAsia="仿宋"/>
          <w:color w:val="000000"/>
          <w:kern w:val="1"/>
          <w:sz w:val="32"/>
          <w:szCs w:val="24"/>
          <w:lang w:eastAsia="zh-CN"/>
        </w:rPr>
        <w:t>度收入</w:t>
      </w:r>
      <w:r>
        <w:rPr>
          <w:rFonts w:hint="eastAsia" w:ascii="仿宋" w:hAnsi="仿宋" w:eastAsia="仿宋"/>
          <w:color w:val="000000"/>
          <w:kern w:val="1"/>
          <w:sz w:val="32"/>
          <w:szCs w:val="24"/>
          <w:lang w:val="en-US" w:eastAsia="zh-CN"/>
        </w:rPr>
        <w:t>3611.48</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val="en-US" w:eastAsia="zh-CN"/>
        </w:rPr>
        <w:t>年初结转和结余800.91万元,总计4,412.38</w:t>
      </w:r>
      <w:r>
        <w:rPr>
          <w:rFonts w:hint="eastAsia" w:ascii="仿宋" w:hAnsi="仿宋" w:eastAsia="仿宋"/>
          <w:color w:val="000000"/>
          <w:kern w:val="1"/>
          <w:sz w:val="32"/>
          <w:szCs w:val="24"/>
        </w:rPr>
        <w:t>万元，比</w:t>
      </w:r>
      <w:r>
        <w:rPr>
          <w:rFonts w:hint="eastAsia" w:ascii="仿宋" w:hAnsi="仿宋" w:eastAsia="仿宋"/>
          <w:color w:val="000000"/>
          <w:kern w:val="1"/>
          <w:sz w:val="32"/>
          <w:szCs w:val="24"/>
          <w:lang w:val="en-US" w:eastAsia="zh-CN"/>
        </w:rPr>
        <w:t>2020</w:t>
      </w:r>
      <w:r>
        <w:rPr>
          <w:rFonts w:hint="eastAsia" w:ascii="仿宋" w:hAnsi="仿宋" w:eastAsia="仿宋"/>
          <w:color w:val="000000"/>
          <w:kern w:val="1"/>
          <w:sz w:val="32"/>
          <w:szCs w:val="24"/>
        </w:rPr>
        <w:t>年</w:t>
      </w:r>
      <w:r>
        <w:rPr>
          <w:rFonts w:hint="eastAsia" w:ascii="仿宋" w:hAnsi="仿宋" w:eastAsia="仿宋"/>
          <w:color w:val="000000"/>
          <w:kern w:val="1"/>
          <w:sz w:val="32"/>
          <w:szCs w:val="24"/>
          <w:lang w:eastAsia="zh-CN"/>
        </w:rPr>
        <w:t>度</w:t>
      </w:r>
      <w:r>
        <w:rPr>
          <w:rFonts w:hint="eastAsia" w:ascii="仿宋" w:hAnsi="仿宋" w:eastAsia="仿宋"/>
          <w:color w:val="000000"/>
          <w:kern w:val="1"/>
          <w:sz w:val="32"/>
          <w:szCs w:val="24"/>
          <w:lang w:val="en-US" w:eastAsia="zh-CN"/>
        </w:rPr>
        <w:t>5,371.14</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val="en-US" w:eastAsia="zh-CN"/>
        </w:rPr>
        <w:t>减少958.76</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eastAsia="zh-CN"/>
        </w:rPr>
        <w:t>，</w:t>
      </w:r>
      <w:r>
        <w:rPr>
          <w:rFonts w:hint="eastAsia" w:ascii="仿宋" w:hAnsi="仿宋" w:eastAsia="仿宋"/>
          <w:color w:val="000000"/>
          <w:kern w:val="1"/>
          <w:sz w:val="32"/>
          <w:szCs w:val="24"/>
          <w:lang w:val="en-US" w:eastAsia="zh-CN"/>
        </w:rPr>
        <w:t>下降21.72%</w:t>
      </w:r>
      <w:r>
        <w:rPr>
          <w:rFonts w:hint="eastAsia" w:ascii="仿宋" w:hAnsi="仿宋" w:eastAsia="仿宋"/>
          <w:color w:val="000000"/>
          <w:kern w:val="1"/>
          <w:sz w:val="32"/>
          <w:szCs w:val="24"/>
        </w:rPr>
        <w:t>。</w:t>
      </w:r>
      <w:r>
        <w:rPr>
          <w:rFonts w:hint="eastAsia" w:ascii="仿宋" w:hAnsi="仿宋" w:eastAsia="仿宋"/>
          <w:color w:val="000000"/>
          <w:kern w:val="1"/>
          <w:sz w:val="32"/>
          <w:szCs w:val="24"/>
          <w:lang w:eastAsia="zh-CN"/>
        </w:rPr>
        <w:t>主要是因为上年度拆除南校区增加财政拔款收入</w:t>
      </w:r>
      <w:r>
        <w:rPr>
          <w:rFonts w:hint="eastAsia" w:ascii="仿宋" w:hAnsi="仿宋" w:eastAsia="仿宋"/>
          <w:color w:val="000000"/>
          <w:kern w:val="1"/>
          <w:sz w:val="32"/>
          <w:szCs w:val="24"/>
          <w:lang w:val="en-US" w:eastAsia="zh-CN"/>
        </w:rPr>
        <w:t>。</w:t>
      </w:r>
    </w:p>
    <w:p>
      <w:pPr>
        <w:numPr>
          <w:ilvl w:val="0"/>
          <w:numId w:val="0"/>
        </w:numPr>
        <w:spacing w:line="580" w:lineRule="exact"/>
        <w:ind w:firstLine="640" w:firstLineChars="200"/>
        <w:rPr>
          <w:rFonts w:hint="default" w:ascii="仿宋" w:hAnsi="仿宋" w:eastAsia="仿宋"/>
          <w:color w:val="000000"/>
          <w:kern w:val="1"/>
          <w:sz w:val="32"/>
          <w:szCs w:val="24"/>
          <w:lang w:val="en-US" w:eastAsia="zh-CN"/>
        </w:rPr>
      </w:pPr>
      <w:r>
        <w:rPr>
          <w:rFonts w:hint="eastAsia" w:ascii="仿宋_GB2312" w:hAnsi="仿宋" w:eastAsia="仿宋"/>
          <w:color w:val="000000"/>
          <w:sz w:val="32"/>
          <w:szCs w:val="32"/>
          <w:lang w:val="en-US" w:eastAsia="zh-CN"/>
        </w:rPr>
        <w:t>2021年度支出4264.7</w:t>
      </w:r>
      <w:r>
        <w:rPr>
          <w:rFonts w:hint="eastAsia" w:ascii="仿宋" w:hAnsi="仿宋" w:eastAsia="仿宋"/>
          <w:color w:val="000000"/>
          <w:kern w:val="1"/>
          <w:sz w:val="32"/>
          <w:szCs w:val="24"/>
        </w:rPr>
        <w:t>万元，年</w:t>
      </w:r>
      <w:r>
        <w:rPr>
          <w:rFonts w:hint="eastAsia" w:ascii="仿宋" w:hAnsi="仿宋" w:eastAsia="仿宋"/>
          <w:color w:val="000000"/>
          <w:kern w:val="1"/>
          <w:sz w:val="32"/>
          <w:szCs w:val="24"/>
          <w:lang w:eastAsia="zh-CN"/>
        </w:rPr>
        <w:t>末</w:t>
      </w:r>
      <w:r>
        <w:rPr>
          <w:rFonts w:hint="eastAsia" w:ascii="仿宋" w:hAnsi="仿宋" w:eastAsia="仿宋"/>
          <w:color w:val="000000"/>
          <w:kern w:val="1"/>
          <w:sz w:val="32"/>
          <w:szCs w:val="24"/>
        </w:rPr>
        <w:t>结转和结余资金</w:t>
      </w:r>
      <w:r>
        <w:rPr>
          <w:rFonts w:hint="eastAsia" w:ascii="仿宋" w:hAnsi="仿宋" w:eastAsia="仿宋"/>
          <w:color w:val="000000"/>
          <w:kern w:val="1"/>
          <w:sz w:val="32"/>
          <w:szCs w:val="24"/>
          <w:lang w:val="en-US" w:eastAsia="zh-CN"/>
        </w:rPr>
        <w:t>147.68</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val="en-US" w:eastAsia="zh-CN"/>
        </w:rPr>
        <w:t>总计4,412.38</w:t>
      </w:r>
      <w:r>
        <w:rPr>
          <w:rFonts w:hint="eastAsia" w:ascii="仿宋" w:hAnsi="仿宋" w:eastAsia="仿宋"/>
          <w:color w:val="000000"/>
          <w:kern w:val="1"/>
          <w:sz w:val="32"/>
          <w:szCs w:val="24"/>
        </w:rPr>
        <w:t>万元，比</w:t>
      </w:r>
      <w:r>
        <w:rPr>
          <w:rFonts w:hint="eastAsia" w:ascii="仿宋" w:hAnsi="仿宋" w:eastAsia="仿宋"/>
          <w:color w:val="000000"/>
          <w:kern w:val="1"/>
          <w:sz w:val="32"/>
          <w:szCs w:val="24"/>
          <w:lang w:val="en-US" w:eastAsia="zh-CN"/>
        </w:rPr>
        <w:t>2020</w:t>
      </w:r>
      <w:r>
        <w:rPr>
          <w:rFonts w:hint="eastAsia" w:ascii="仿宋" w:hAnsi="仿宋" w:eastAsia="仿宋"/>
          <w:color w:val="000000"/>
          <w:kern w:val="1"/>
          <w:sz w:val="32"/>
          <w:szCs w:val="24"/>
        </w:rPr>
        <w:t>年</w:t>
      </w:r>
      <w:r>
        <w:rPr>
          <w:rFonts w:hint="eastAsia" w:ascii="仿宋" w:hAnsi="仿宋" w:eastAsia="仿宋"/>
          <w:color w:val="000000"/>
          <w:kern w:val="1"/>
          <w:sz w:val="32"/>
          <w:szCs w:val="24"/>
          <w:lang w:eastAsia="zh-CN"/>
        </w:rPr>
        <w:t>度</w:t>
      </w:r>
      <w:r>
        <w:rPr>
          <w:rFonts w:hint="eastAsia" w:ascii="仿宋" w:hAnsi="仿宋" w:eastAsia="仿宋"/>
          <w:color w:val="000000"/>
          <w:kern w:val="1"/>
          <w:sz w:val="32"/>
          <w:szCs w:val="24"/>
          <w:lang w:val="en-US" w:eastAsia="zh-CN"/>
        </w:rPr>
        <w:t>4570.23</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val="en-US" w:eastAsia="zh-CN"/>
        </w:rPr>
        <w:t>减少305.53</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eastAsia="zh-CN"/>
        </w:rPr>
        <w:t>，</w:t>
      </w:r>
      <w:r>
        <w:rPr>
          <w:rFonts w:hint="eastAsia" w:ascii="仿宋" w:hAnsi="仿宋" w:eastAsia="仿宋"/>
          <w:color w:val="000000"/>
          <w:kern w:val="1"/>
          <w:sz w:val="32"/>
          <w:szCs w:val="24"/>
          <w:lang w:val="en-US" w:eastAsia="zh-CN"/>
        </w:rPr>
        <w:t>下降6.69%</w:t>
      </w:r>
      <w:r>
        <w:rPr>
          <w:rFonts w:hint="eastAsia" w:ascii="仿宋" w:hAnsi="仿宋" w:eastAsia="仿宋"/>
          <w:color w:val="000000"/>
          <w:kern w:val="1"/>
          <w:sz w:val="32"/>
          <w:szCs w:val="24"/>
        </w:rPr>
        <w:t>。</w:t>
      </w:r>
      <w:r>
        <w:rPr>
          <w:rFonts w:hint="eastAsia" w:ascii="仿宋" w:hAnsi="仿宋" w:eastAsia="仿宋"/>
          <w:color w:val="000000"/>
          <w:kern w:val="1"/>
          <w:sz w:val="32"/>
          <w:szCs w:val="24"/>
          <w:lang w:eastAsia="zh-CN"/>
        </w:rPr>
        <w:t>主要是因为本年度减少拆除南校区费用支出</w:t>
      </w:r>
      <w:r>
        <w:rPr>
          <w:rFonts w:hint="eastAsia" w:ascii="仿宋" w:hAnsi="仿宋" w:eastAsia="仿宋"/>
          <w:color w:val="000000"/>
          <w:kern w:val="1"/>
          <w:sz w:val="32"/>
          <w:szCs w:val="24"/>
          <w:lang w:val="en-US" w:eastAsia="zh-CN"/>
        </w:rPr>
        <w:t>。</w:t>
      </w:r>
    </w:p>
    <w:p>
      <w:pPr>
        <w:pStyle w:val="7"/>
        <w:rPr>
          <w:rFonts w:hAnsi="黑体"/>
          <w:b/>
          <w:sz w:val="32"/>
          <w:szCs w:val="32"/>
        </w:rPr>
      </w:pPr>
      <w:r>
        <w:rPr>
          <w:rFonts w:hint="eastAsia" w:hAnsi="黑体"/>
          <w:b/>
          <w:sz w:val="32"/>
          <w:szCs w:val="32"/>
        </w:rPr>
        <w:t>二、收入决算情况说明</w:t>
      </w:r>
    </w:p>
    <w:p>
      <w:pPr>
        <w:snapToGrid w:val="0"/>
        <w:spacing w:line="520" w:lineRule="exact"/>
        <w:ind w:firstLine="640" w:firstLineChars="200"/>
        <w:rPr>
          <w:rFonts w:hint="default" w:ascii="仿宋_GB2312" w:hAnsi="仿宋" w:eastAsia="仿宋"/>
          <w:color w:val="000000"/>
          <w:sz w:val="32"/>
          <w:szCs w:val="32"/>
          <w:lang w:val="en-US" w:eastAsia="zh-CN"/>
        </w:rPr>
      </w:pPr>
      <w:r>
        <w:rPr>
          <w:rFonts w:hint="eastAsia" w:ascii="仿宋" w:hAnsi="仿宋" w:eastAsia="仿宋"/>
          <w:color w:val="000000"/>
          <w:kern w:val="1"/>
          <w:sz w:val="32"/>
          <w:szCs w:val="24"/>
        </w:rPr>
        <w:t>20</w:t>
      </w:r>
      <w:r>
        <w:rPr>
          <w:rFonts w:hint="eastAsia" w:ascii="仿宋" w:hAnsi="仿宋" w:eastAsia="仿宋"/>
          <w:color w:val="000000"/>
          <w:kern w:val="1"/>
          <w:sz w:val="32"/>
          <w:szCs w:val="24"/>
          <w:lang w:val="en-US" w:eastAsia="zh-CN"/>
        </w:rPr>
        <w:t>21</w:t>
      </w:r>
      <w:r>
        <w:rPr>
          <w:rFonts w:hint="eastAsia" w:ascii="仿宋" w:hAnsi="仿宋" w:eastAsia="仿宋"/>
          <w:color w:val="000000"/>
          <w:kern w:val="1"/>
          <w:sz w:val="32"/>
          <w:szCs w:val="24"/>
        </w:rPr>
        <w:t>年</w:t>
      </w:r>
      <w:r>
        <w:rPr>
          <w:rFonts w:hint="eastAsia" w:ascii="仿宋" w:hAnsi="仿宋" w:eastAsia="仿宋"/>
          <w:color w:val="000000"/>
          <w:kern w:val="1"/>
          <w:sz w:val="32"/>
          <w:szCs w:val="24"/>
          <w:lang w:eastAsia="zh-CN"/>
        </w:rPr>
        <w:t>度</w:t>
      </w:r>
      <w:r>
        <w:rPr>
          <w:rFonts w:hint="eastAsia" w:ascii="仿宋" w:hAnsi="仿宋" w:eastAsia="仿宋"/>
          <w:color w:val="000000"/>
          <w:kern w:val="1"/>
          <w:sz w:val="32"/>
          <w:szCs w:val="24"/>
        </w:rPr>
        <w:t>收入</w:t>
      </w:r>
      <w:r>
        <w:rPr>
          <w:rFonts w:hint="eastAsia" w:ascii="仿宋" w:hAnsi="仿宋" w:eastAsia="仿宋"/>
          <w:color w:val="000000"/>
          <w:kern w:val="1"/>
          <w:sz w:val="32"/>
          <w:szCs w:val="24"/>
          <w:lang w:eastAsia="zh-CN"/>
        </w:rPr>
        <w:t>合计</w:t>
      </w:r>
      <w:r>
        <w:rPr>
          <w:rFonts w:hint="eastAsia" w:ascii="仿宋" w:hAnsi="仿宋" w:eastAsia="仿宋"/>
          <w:color w:val="000000"/>
          <w:kern w:val="1"/>
          <w:sz w:val="32"/>
          <w:szCs w:val="24"/>
          <w:lang w:val="en-US" w:eastAsia="zh-CN"/>
        </w:rPr>
        <w:t>3611.48</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val="en-US" w:eastAsia="zh-CN"/>
        </w:rPr>
        <w:t>。</w:t>
      </w:r>
      <w:r>
        <w:rPr>
          <w:rFonts w:hint="eastAsia" w:ascii="仿宋" w:hAnsi="仿宋" w:eastAsia="仿宋"/>
          <w:color w:val="000000"/>
          <w:kern w:val="1"/>
          <w:sz w:val="32"/>
          <w:szCs w:val="24"/>
        </w:rPr>
        <w:t>其中：财政拨款收入</w:t>
      </w:r>
      <w:r>
        <w:rPr>
          <w:rFonts w:hint="eastAsia" w:ascii="仿宋" w:hAnsi="仿宋" w:eastAsia="仿宋"/>
          <w:color w:val="000000"/>
          <w:kern w:val="1"/>
          <w:sz w:val="32"/>
          <w:szCs w:val="24"/>
          <w:lang w:val="en-US" w:eastAsia="zh-CN"/>
        </w:rPr>
        <w:t>2,046.13</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eastAsia="zh-CN"/>
        </w:rPr>
        <w:t>占</w:t>
      </w:r>
      <w:r>
        <w:rPr>
          <w:rFonts w:hint="eastAsia" w:ascii="仿宋" w:hAnsi="仿宋" w:eastAsia="仿宋"/>
          <w:color w:val="000000"/>
          <w:kern w:val="1"/>
          <w:sz w:val="32"/>
          <w:szCs w:val="24"/>
          <w:lang w:val="en-US" w:eastAsia="zh-CN"/>
        </w:rPr>
        <w:t>56.66%；</w:t>
      </w:r>
      <w:r>
        <w:rPr>
          <w:rFonts w:hint="eastAsia" w:ascii="仿宋" w:hAnsi="仿宋" w:eastAsia="仿宋"/>
          <w:color w:val="000000"/>
          <w:kern w:val="1"/>
          <w:sz w:val="32"/>
          <w:szCs w:val="24"/>
        </w:rPr>
        <w:t>上级补助收入562.06</w:t>
      </w:r>
      <w:r>
        <w:rPr>
          <w:rFonts w:hint="eastAsia" w:ascii="仿宋" w:hAnsi="仿宋" w:eastAsia="仿宋"/>
          <w:color w:val="000000"/>
          <w:kern w:val="1"/>
          <w:sz w:val="32"/>
          <w:szCs w:val="24"/>
          <w:lang w:val="en-US" w:eastAsia="zh-CN"/>
        </w:rPr>
        <w:t>万元，</w:t>
      </w:r>
      <w:r>
        <w:rPr>
          <w:rFonts w:hint="eastAsia" w:ascii="仿宋" w:hAnsi="仿宋" w:eastAsia="仿宋"/>
          <w:color w:val="000000"/>
          <w:kern w:val="1"/>
          <w:sz w:val="32"/>
          <w:szCs w:val="24"/>
          <w:lang w:eastAsia="zh-CN"/>
        </w:rPr>
        <w:t>占</w:t>
      </w:r>
      <w:r>
        <w:rPr>
          <w:rFonts w:hint="eastAsia" w:ascii="仿宋" w:hAnsi="仿宋" w:eastAsia="仿宋"/>
          <w:color w:val="000000"/>
          <w:kern w:val="1"/>
          <w:sz w:val="32"/>
          <w:szCs w:val="24"/>
          <w:lang w:val="en-US" w:eastAsia="zh-CN"/>
        </w:rPr>
        <w:t>15.56%；事业收入954.71万元，</w:t>
      </w:r>
      <w:r>
        <w:rPr>
          <w:rFonts w:hint="eastAsia" w:ascii="仿宋" w:hAnsi="仿宋" w:eastAsia="仿宋"/>
          <w:color w:val="000000"/>
          <w:kern w:val="1"/>
          <w:sz w:val="32"/>
          <w:szCs w:val="24"/>
          <w:lang w:eastAsia="zh-CN"/>
        </w:rPr>
        <w:t>占</w:t>
      </w:r>
      <w:r>
        <w:rPr>
          <w:rFonts w:hint="eastAsia" w:ascii="仿宋" w:hAnsi="仿宋" w:eastAsia="仿宋"/>
          <w:color w:val="000000"/>
          <w:kern w:val="1"/>
          <w:sz w:val="32"/>
          <w:szCs w:val="24"/>
          <w:lang w:val="en-US" w:eastAsia="zh-CN"/>
        </w:rPr>
        <w:t>26.44%；经营收入0万元，</w:t>
      </w:r>
      <w:r>
        <w:rPr>
          <w:rFonts w:hint="eastAsia" w:ascii="仿宋" w:hAnsi="仿宋" w:eastAsia="仿宋"/>
          <w:color w:val="000000"/>
          <w:kern w:val="1"/>
          <w:sz w:val="32"/>
          <w:szCs w:val="24"/>
          <w:lang w:eastAsia="zh-CN"/>
        </w:rPr>
        <w:t>占</w:t>
      </w:r>
      <w:r>
        <w:rPr>
          <w:rFonts w:hint="eastAsia" w:ascii="仿宋" w:hAnsi="仿宋" w:eastAsia="仿宋"/>
          <w:color w:val="000000"/>
          <w:kern w:val="1"/>
          <w:sz w:val="32"/>
          <w:szCs w:val="24"/>
          <w:lang w:val="en-US" w:eastAsia="zh-CN"/>
        </w:rPr>
        <w:t>0%；附属单位上缴收入0万元，</w:t>
      </w:r>
      <w:r>
        <w:rPr>
          <w:rFonts w:hint="eastAsia" w:ascii="仿宋" w:hAnsi="仿宋" w:eastAsia="仿宋"/>
          <w:color w:val="000000"/>
          <w:kern w:val="1"/>
          <w:sz w:val="32"/>
          <w:szCs w:val="24"/>
          <w:lang w:eastAsia="zh-CN"/>
        </w:rPr>
        <w:t>占</w:t>
      </w:r>
      <w:r>
        <w:rPr>
          <w:rFonts w:hint="eastAsia" w:ascii="仿宋" w:hAnsi="仿宋" w:eastAsia="仿宋"/>
          <w:color w:val="000000"/>
          <w:kern w:val="1"/>
          <w:sz w:val="32"/>
          <w:szCs w:val="24"/>
          <w:lang w:val="en-US" w:eastAsia="zh-CN"/>
        </w:rPr>
        <w:t>0%；</w:t>
      </w:r>
      <w:r>
        <w:rPr>
          <w:rFonts w:hint="eastAsia" w:ascii="仿宋" w:hAnsi="仿宋" w:eastAsia="仿宋"/>
          <w:color w:val="000000"/>
          <w:kern w:val="1"/>
          <w:sz w:val="32"/>
          <w:szCs w:val="24"/>
        </w:rPr>
        <w:t>其他收入</w:t>
      </w:r>
      <w:r>
        <w:rPr>
          <w:rFonts w:hint="eastAsia" w:ascii="仿宋" w:hAnsi="仿宋" w:eastAsia="仿宋"/>
          <w:color w:val="000000"/>
          <w:kern w:val="1"/>
          <w:sz w:val="32"/>
          <w:szCs w:val="24"/>
          <w:lang w:val="en-US" w:eastAsia="zh-CN"/>
        </w:rPr>
        <w:t>48.57</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eastAsia="zh-CN"/>
        </w:rPr>
        <w:t>，占</w:t>
      </w:r>
      <w:r>
        <w:rPr>
          <w:rFonts w:hint="eastAsia" w:ascii="仿宋" w:hAnsi="仿宋" w:eastAsia="仿宋"/>
          <w:color w:val="000000"/>
          <w:kern w:val="1"/>
          <w:sz w:val="32"/>
          <w:szCs w:val="24"/>
          <w:lang w:val="en-US" w:eastAsia="zh-CN"/>
        </w:rPr>
        <w:t>1.34%</w:t>
      </w:r>
      <w:r>
        <w:rPr>
          <w:rFonts w:hint="eastAsia" w:ascii="仿宋" w:hAnsi="仿宋" w:eastAsia="仿宋"/>
          <w:color w:val="000000"/>
          <w:kern w:val="1"/>
          <w:sz w:val="32"/>
          <w:szCs w:val="24"/>
        </w:rPr>
        <w:t>。</w:t>
      </w:r>
    </w:p>
    <w:p>
      <w:pPr>
        <w:pStyle w:val="7"/>
        <w:rPr>
          <w:rFonts w:hAnsi="黑体"/>
          <w:b/>
          <w:sz w:val="32"/>
          <w:szCs w:val="32"/>
        </w:rPr>
      </w:pPr>
      <w:r>
        <w:rPr>
          <w:rFonts w:hint="eastAsia" w:hAnsi="黑体"/>
          <w:b/>
          <w:sz w:val="32"/>
          <w:szCs w:val="32"/>
        </w:rPr>
        <w:t>三、支出决算情况说明</w:t>
      </w:r>
    </w:p>
    <w:p>
      <w:pPr>
        <w:snapToGrid w:val="0"/>
        <w:spacing w:line="520" w:lineRule="exact"/>
        <w:ind w:firstLine="640" w:firstLineChars="200"/>
        <w:rPr>
          <w:rFonts w:hint="eastAsia" w:ascii="仿宋_GB2312" w:hAnsi="仿宋" w:eastAsia="仿宋_GB2312"/>
          <w:color w:val="000000"/>
          <w:sz w:val="32"/>
          <w:szCs w:val="32"/>
          <w:lang w:val="en-US" w:eastAsia="zh-CN"/>
        </w:rPr>
      </w:pPr>
      <w:r>
        <w:rPr>
          <w:rFonts w:hint="eastAsia" w:ascii="仿宋" w:hAnsi="仿宋" w:eastAsia="仿宋"/>
          <w:color w:val="000000"/>
          <w:kern w:val="1"/>
          <w:sz w:val="32"/>
          <w:szCs w:val="24"/>
        </w:rPr>
        <w:t>20</w:t>
      </w:r>
      <w:r>
        <w:rPr>
          <w:rFonts w:hint="eastAsia" w:ascii="仿宋" w:hAnsi="仿宋" w:eastAsia="仿宋"/>
          <w:color w:val="000000"/>
          <w:kern w:val="1"/>
          <w:sz w:val="32"/>
          <w:szCs w:val="24"/>
          <w:lang w:val="en-US" w:eastAsia="zh-CN"/>
        </w:rPr>
        <w:t>21</w:t>
      </w:r>
      <w:r>
        <w:rPr>
          <w:rFonts w:hint="eastAsia" w:ascii="仿宋" w:hAnsi="仿宋" w:eastAsia="仿宋"/>
          <w:color w:val="000000"/>
          <w:kern w:val="1"/>
          <w:sz w:val="32"/>
          <w:szCs w:val="24"/>
        </w:rPr>
        <w:t>年</w:t>
      </w:r>
      <w:r>
        <w:rPr>
          <w:rFonts w:hint="eastAsia" w:ascii="仿宋" w:hAnsi="仿宋" w:eastAsia="仿宋"/>
          <w:color w:val="000000"/>
          <w:kern w:val="1"/>
          <w:sz w:val="32"/>
          <w:szCs w:val="24"/>
          <w:lang w:eastAsia="zh-CN"/>
        </w:rPr>
        <w:t>度支出合计</w:t>
      </w:r>
      <w:r>
        <w:rPr>
          <w:rFonts w:hint="eastAsia" w:ascii="仿宋" w:hAnsi="仿宋" w:eastAsia="仿宋"/>
          <w:color w:val="000000"/>
          <w:kern w:val="1"/>
          <w:sz w:val="32"/>
          <w:szCs w:val="24"/>
          <w:lang w:val="en-US" w:eastAsia="zh-CN"/>
        </w:rPr>
        <w:t>4264.7</w:t>
      </w:r>
      <w:r>
        <w:rPr>
          <w:rFonts w:hint="eastAsia" w:ascii="仿宋" w:hAnsi="仿宋" w:eastAsia="仿宋"/>
          <w:color w:val="000000"/>
          <w:kern w:val="1"/>
          <w:sz w:val="32"/>
          <w:szCs w:val="24"/>
        </w:rPr>
        <w:t>万元</w:t>
      </w:r>
      <w:r>
        <w:rPr>
          <w:rFonts w:hint="eastAsia" w:ascii="仿宋" w:hAnsi="仿宋" w:eastAsia="仿宋"/>
          <w:color w:val="000000"/>
          <w:kern w:val="1"/>
          <w:sz w:val="32"/>
          <w:szCs w:val="24"/>
          <w:lang w:val="en-US" w:eastAsia="zh-CN"/>
        </w:rPr>
        <w:t>。</w:t>
      </w:r>
      <w:r>
        <w:rPr>
          <w:rFonts w:hint="eastAsia" w:ascii="仿宋_GB2312" w:hAnsi="仿宋" w:eastAsia="仿宋_GB2312"/>
          <w:color w:val="000000"/>
          <w:sz w:val="32"/>
          <w:szCs w:val="32"/>
          <w:lang w:val="en-US" w:eastAsia="zh-CN"/>
        </w:rPr>
        <w:t>其中：基本支出3617.71万元，</w:t>
      </w:r>
      <w:r>
        <w:rPr>
          <w:rFonts w:hint="eastAsia" w:ascii="仿宋" w:hAnsi="仿宋" w:eastAsia="仿宋"/>
          <w:color w:val="000000"/>
          <w:kern w:val="1"/>
          <w:sz w:val="32"/>
          <w:szCs w:val="24"/>
        </w:rPr>
        <w:t>占</w:t>
      </w:r>
      <w:r>
        <w:rPr>
          <w:rFonts w:hint="eastAsia" w:ascii="仿宋" w:hAnsi="仿宋" w:eastAsia="仿宋"/>
          <w:color w:val="000000"/>
          <w:kern w:val="1"/>
          <w:sz w:val="32"/>
          <w:szCs w:val="24"/>
          <w:lang w:val="en-US" w:eastAsia="zh-CN"/>
        </w:rPr>
        <w:t>84.83</w:t>
      </w:r>
      <w:r>
        <w:rPr>
          <w:rFonts w:hint="eastAsia" w:ascii="仿宋" w:hAnsi="仿宋" w:eastAsia="仿宋"/>
          <w:color w:val="000000"/>
          <w:kern w:val="1"/>
          <w:sz w:val="32"/>
          <w:szCs w:val="24"/>
        </w:rPr>
        <w:t>%</w:t>
      </w:r>
      <w:r>
        <w:rPr>
          <w:rFonts w:hint="eastAsia" w:ascii="仿宋" w:hAnsi="仿宋" w:eastAsia="仿宋"/>
          <w:color w:val="000000"/>
          <w:kern w:val="1"/>
          <w:sz w:val="32"/>
          <w:szCs w:val="24"/>
          <w:lang w:eastAsia="zh-CN"/>
        </w:rPr>
        <w:t>；</w:t>
      </w:r>
      <w:r>
        <w:rPr>
          <w:rFonts w:hint="eastAsia" w:ascii="仿宋_GB2312" w:hAnsi="仿宋" w:eastAsia="仿宋_GB2312"/>
          <w:color w:val="000000"/>
          <w:sz w:val="32"/>
          <w:szCs w:val="32"/>
          <w:lang w:val="en-US" w:eastAsia="zh-CN"/>
        </w:rPr>
        <w:t>项目支出646.99万元，</w:t>
      </w:r>
      <w:r>
        <w:rPr>
          <w:rFonts w:hint="eastAsia" w:ascii="仿宋" w:hAnsi="仿宋" w:eastAsia="仿宋"/>
          <w:color w:val="000000"/>
          <w:kern w:val="1"/>
          <w:sz w:val="32"/>
          <w:szCs w:val="24"/>
        </w:rPr>
        <w:t>占</w:t>
      </w:r>
      <w:r>
        <w:rPr>
          <w:rFonts w:hint="eastAsia" w:ascii="仿宋" w:hAnsi="仿宋" w:eastAsia="仿宋"/>
          <w:color w:val="000000"/>
          <w:kern w:val="1"/>
          <w:sz w:val="32"/>
          <w:szCs w:val="24"/>
          <w:lang w:val="en-US" w:eastAsia="zh-CN"/>
        </w:rPr>
        <w:t>15.17</w:t>
      </w:r>
      <w:r>
        <w:rPr>
          <w:rFonts w:hint="eastAsia" w:ascii="仿宋" w:hAnsi="仿宋" w:eastAsia="仿宋"/>
          <w:color w:val="000000"/>
          <w:kern w:val="1"/>
          <w:sz w:val="32"/>
          <w:szCs w:val="24"/>
        </w:rPr>
        <w:t>%</w:t>
      </w:r>
      <w:r>
        <w:rPr>
          <w:rFonts w:hint="eastAsia" w:ascii="仿宋" w:hAnsi="仿宋" w:eastAsia="仿宋"/>
          <w:color w:val="000000"/>
          <w:kern w:val="1"/>
          <w:sz w:val="32"/>
          <w:szCs w:val="24"/>
          <w:lang w:val="en-US" w:eastAsia="zh-CN"/>
        </w:rPr>
        <w:t>。</w:t>
      </w:r>
      <w:r>
        <w:rPr>
          <w:rFonts w:hint="eastAsia" w:ascii="仿宋_GB2312" w:hAnsi="仿宋" w:eastAsia="仿宋_GB2312"/>
          <w:color w:val="000000"/>
          <w:sz w:val="32"/>
          <w:szCs w:val="32"/>
          <w:lang w:val="en-US" w:eastAsia="zh-CN"/>
        </w:rPr>
        <w:t>上缴上级支出0万元，占0%；经营支出0万元，占0%；对附属单位补助支出0万元，占0%。</w:t>
      </w:r>
    </w:p>
    <w:p>
      <w:pPr>
        <w:pStyle w:val="7"/>
        <w:rPr>
          <w:rFonts w:hAnsi="黑体"/>
          <w:b/>
          <w:sz w:val="32"/>
          <w:szCs w:val="32"/>
        </w:rPr>
      </w:pPr>
      <w:r>
        <w:rPr>
          <w:rFonts w:hint="eastAsia" w:hAnsi="黑体"/>
          <w:b/>
          <w:sz w:val="32"/>
          <w:szCs w:val="32"/>
        </w:rPr>
        <w:t>四、财政拨款收入支出决算总体情况说明</w:t>
      </w:r>
    </w:p>
    <w:p>
      <w:pPr>
        <w:ind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2021年度</w:t>
      </w:r>
      <w:r>
        <w:rPr>
          <w:rFonts w:hint="eastAsia" w:cs="黑体" w:asciiTheme="minorEastAsia" w:hAnsiTheme="minorEastAsia"/>
          <w:color w:val="000000"/>
          <w:kern w:val="0"/>
          <w:sz w:val="32"/>
          <w:szCs w:val="32"/>
          <w:lang w:val="en-US" w:eastAsia="zh-CN" w:bidi="ar-SA"/>
        </w:rPr>
        <w:t>财政拨款</w:t>
      </w:r>
      <w:r>
        <w:rPr>
          <w:rFonts w:hint="eastAsia" w:cs="黑体" w:asciiTheme="minorEastAsia" w:hAnsiTheme="minorEastAsia" w:eastAsiaTheme="minorEastAsia"/>
          <w:color w:val="000000"/>
          <w:kern w:val="0"/>
          <w:sz w:val="32"/>
          <w:szCs w:val="32"/>
          <w:lang w:val="en-US" w:eastAsia="zh-CN" w:bidi="ar-SA"/>
        </w:rPr>
        <w:t>收入</w:t>
      </w:r>
      <w:r>
        <w:rPr>
          <w:rFonts w:hint="eastAsia" w:ascii="仿宋" w:hAnsi="仿宋" w:eastAsia="仿宋"/>
          <w:color w:val="000000"/>
          <w:kern w:val="1"/>
          <w:sz w:val="32"/>
          <w:szCs w:val="24"/>
          <w:lang w:val="en-US" w:eastAsia="zh-CN"/>
        </w:rPr>
        <w:t>2,046.13</w:t>
      </w:r>
      <w:r>
        <w:rPr>
          <w:rFonts w:hint="eastAsia" w:cs="黑体" w:asciiTheme="minorEastAsia" w:hAnsiTheme="minorEastAsia" w:eastAsiaTheme="minorEastAsia"/>
          <w:color w:val="000000"/>
          <w:kern w:val="0"/>
          <w:sz w:val="32"/>
          <w:szCs w:val="32"/>
          <w:lang w:val="en-US" w:eastAsia="zh-CN" w:bidi="ar-SA"/>
        </w:rPr>
        <w:t>万元，年初结转和结余</w:t>
      </w:r>
      <w:r>
        <w:rPr>
          <w:rFonts w:hint="eastAsia" w:ascii="仿宋" w:hAnsi="仿宋" w:eastAsia="仿宋"/>
          <w:color w:val="000000"/>
          <w:kern w:val="1"/>
          <w:sz w:val="32"/>
          <w:szCs w:val="24"/>
          <w:lang w:val="en-US" w:eastAsia="zh-CN"/>
        </w:rPr>
        <w:t>0</w:t>
      </w:r>
      <w:r>
        <w:rPr>
          <w:rFonts w:hint="eastAsia" w:cs="黑体" w:asciiTheme="minorEastAsia" w:hAnsiTheme="minorEastAsia" w:eastAsiaTheme="minorEastAsia"/>
          <w:color w:val="000000"/>
          <w:kern w:val="0"/>
          <w:sz w:val="32"/>
          <w:szCs w:val="32"/>
          <w:lang w:val="en-US" w:eastAsia="zh-CN" w:bidi="ar-SA"/>
        </w:rPr>
        <w:t>万元，总计</w:t>
      </w:r>
      <w:r>
        <w:rPr>
          <w:rFonts w:hint="eastAsia" w:ascii="仿宋_GB2312" w:hAnsi="仿宋" w:eastAsia="仿宋_GB2312"/>
          <w:color w:val="000000"/>
          <w:sz w:val="32"/>
          <w:szCs w:val="32"/>
          <w:lang w:val="en-US" w:eastAsia="zh-CN"/>
        </w:rPr>
        <w:t>2,046.13</w:t>
      </w:r>
      <w:r>
        <w:rPr>
          <w:rFonts w:hint="eastAsia" w:cs="黑体" w:asciiTheme="minorEastAsia" w:hAnsiTheme="minorEastAsia" w:eastAsiaTheme="minorEastAsia"/>
          <w:color w:val="000000"/>
          <w:kern w:val="0"/>
          <w:sz w:val="32"/>
          <w:szCs w:val="32"/>
          <w:lang w:val="en-US" w:eastAsia="zh-CN" w:bidi="ar-SA"/>
        </w:rPr>
        <w:t>万元，与2020年度</w:t>
      </w:r>
      <w:r>
        <w:rPr>
          <w:rFonts w:hint="eastAsia" w:cs="黑体" w:asciiTheme="minorEastAsia" w:hAnsiTheme="minorEastAsia"/>
          <w:color w:val="000000"/>
          <w:kern w:val="0"/>
          <w:sz w:val="32"/>
          <w:szCs w:val="32"/>
          <w:lang w:val="en-US" w:eastAsia="zh-CN" w:bidi="ar-SA"/>
        </w:rPr>
        <w:t>财政拨款收入</w:t>
      </w:r>
      <w:r>
        <w:rPr>
          <w:rFonts w:hint="eastAsia" w:cs="黑体" w:asciiTheme="minorEastAsia" w:hAnsiTheme="minorEastAsia" w:eastAsiaTheme="minorEastAsia"/>
          <w:color w:val="000000"/>
          <w:kern w:val="0"/>
          <w:sz w:val="32"/>
          <w:szCs w:val="32"/>
          <w:lang w:val="en-US" w:eastAsia="zh-CN" w:bidi="ar-SA"/>
        </w:rPr>
        <w:t>（</w:t>
      </w:r>
      <w:r>
        <w:rPr>
          <w:rFonts w:hint="eastAsia" w:ascii="仿宋" w:hAnsi="仿宋" w:eastAsia="仿宋"/>
          <w:color w:val="000000"/>
          <w:kern w:val="1"/>
          <w:sz w:val="32"/>
          <w:szCs w:val="24"/>
        </w:rPr>
        <w:t>4,570.23</w:t>
      </w:r>
      <w:r>
        <w:rPr>
          <w:rFonts w:hint="eastAsia" w:cs="黑体" w:asciiTheme="minorEastAsia" w:hAnsiTheme="minorEastAsia" w:eastAsiaTheme="minorEastAsia"/>
          <w:color w:val="000000"/>
          <w:kern w:val="0"/>
          <w:sz w:val="32"/>
          <w:szCs w:val="32"/>
          <w:lang w:val="en-US" w:eastAsia="zh-CN" w:bidi="ar-SA"/>
        </w:rPr>
        <w:t>万元）相比，减少</w:t>
      </w:r>
      <w:r>
        <w:rPr>
          <w:rFonts w:hint="eastAsia" w:ascii="仿宋" w:hAnsi="仿宋" w:eastAsia="仿宋"/>
          <w:color w:val="000000"/>
          <w:kern w:val="1"/>
          <w:sz w:val="32"/>
          <w:szCs w:val="24"/>
          <w:lang w:val="en-US" w:eastAsia="zh-CN"/>
        </w:rPr>
        <w:t>2524.1</w:t>
      </w:r>
      <w:r>
        <w:rPr>
          <w:rFonts w:hint="eastAsia" w:cs="黑体" w:asciiTheme="minorEastAsia" w:hAnsiTheme="minorEastAsia" w:eastAsiaTheme="minorEastAsia"/>
          <w:color w:val="000000"/>
          <w:kern w:val="0"/>
          <w:sz w:val="32"/>
          <w:szCs w:val="32"/>
          <w:lang w:val="en-US" w:eastAsia="zh-CN" w:bidi="ar-SA"/>
        </w:rPr>
        <w:t>万元，减少</w:t>
      </w:r>
      <w:r>
        <w:rPr>
          <w:rFonts w:hint="eastAsia" w:ascii="仿宋" w:hAnsi="仿宋" w:eastAsia="仿宋"/>
          <w:color w:val="000000"/>
          <w:kern w:val="1"/>
          <w:sz w:val="32"/>
          <w:szCs w:val="24"/>
          <w:lang w:val="en-US" w:eastAsia="zh-CN"/>
        </w:rPr>
        <w:t>55.23</w:t>
      </w:r>
      <w:r>
        <w:rPr>
          <w:rFonts w:hint="eastAsia" w:cs="黑体" w:asciiTheme="minorEastAsia" w:hAnsiTheme="minorEastAsia" w:eastAsiaTheme="minorEastAsia"/>
          <w:color w:val="000000"/>
          <w:kern w:val="0"/>
          <w:sz w:val="32"/>
          <w:szCs w:val="32"/>
          <w:lang w:val="en-US" w:eastAsia="zh-CN" w:bidi="ar-SA"/>
        </w:rPr>
        <w:t>%，</w:t>
      </w:r>
      <w:r>
        <w:rPr>
          <w:rFonts w:hint="eastAsia" w:asciiTheme="minorEastAsia" w:hAnsiTheme="minorEastAsia" w:eastAsiaTheme="minorEastAsia"/>
          <w:sz w:val="32"/>
          <w:szCs w:val="32"/>
        </w:rPr>
        <w:t>主要是因为</w:t>
      </w:r>
      <w:r>
        <w:rPr>
          <w:rFonts w:hint="eastAsia" w:ascii="仿宋" w:hAnsi="仿宋" w:eastAsia="仿宋"/>
          <w:color w:val="000000"/>
          <w:kern w:val="1"/>
          <w:sz w:val="32"/>
          <w:szCs w:val="24"/>
          <w:lang w:val="en-US" w:eastAsia="zh-CN"/>
        </w:rPr>
        <w:t>2020</w:t>
      </w:r>
      <w:r>
        <w:rPr>
          <w:rFonts w:hint="eastAsia" w:cs="黑体" w:asciiTheme="minorEastAsia" w:hAnsiTheme="minorEastAsia" w:eastAsiaTheme="minorEastAsia"/>
          <w:color w:val="000000"/>
          <w:kern w:val="0"/>
          <w:sz w:val="32"/>
          <w:szCs w:val="32"/>
          <w:lang w:val="en-US" w:eastAsia="zh-CN" w:bidi="ar-SA"/>
        </w:rPr>
        <w:t>年拆除南校区增加财政拔款收入。</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2021年度财政拨款支出</w:t>
      </w:r>
      <w:r>
        <w:rPr>
          <w:rFonts w:hint="eastAsia" w:ascii="仿宋_GB2312" w:hAnsi="仿宋" w:eastAsia="仿宋_GB2312"/>
          <w:color w:val="000000"/>
          <w:sz w:val="32"/>
          <w:szCs w:val="32"/>
          <w:lang w:val="en-US" w:eastAsia="zh-CN"/>
        </w:rPr>
        <w:t>2,046.13</w:t>
      </w:r>
      <w:r>
        <w:rPr>
          <w:rFonts w:hint="eastAsia" w:cs="黑体" w:asciiTheme="minorEastAsia" w:hAnsiTheme="minorEastAsia" w:eastAsiaTheme="minorEastAsia"/>
          <w:color w:val="000000"/>
          <w:kern w:val="0"/>
          <w:sz w:val="32"/>
          <w:szCs w:val="32"/>
          <w:lang w:val="en-US" w:eastAsia="zh-CN" w:bidi="ar-SA"/>
        </w:rPr>
        <w:t>万元，年</w:t>
      </w:r>
      <w:r>
        <w:rPr>
          <w:rFonts w:hint="eastAsia" w:cs="黑体" w:asciiTheme="minorEastAsia" w:hAnsiTheme="minorEastAsia" w:eastAsiaTheme="minorEastAsia"/>
          <w:color w:val="000000"/>
          <w:kern w:val="0"/>
          <w:sz w:val="32"/>
          <w:szCs w:val="32"/>
          <w:highlight w:val="none"/>
          <w:lang w:val="en-US" w:eastAsia="zh-CN" w:bidi="ar-SA"/>
        </w:rPr>
        <w:t>末</w:t>
      </w:r>
      <w:r>
        <w:rPr>
          <w:rFonts w:hint="eastAsia" w:cs="黑体" w:asciiTheme="minorEastAsia" w:hAnsiTheme="minorEastAsia" w:eastAsiaTheme="minorEastAsia"/>
          <w:color w:val="000000"/>
          <w:kern w:val="0"/>
          <w:sz w:val="32"/>
          <w:szCs w:val="32"/>
          <w:lang w:val="en-US" w:eastAsia="zh-CN" w:bidi="ar-SA"/>
        </w:rPr>
        <w:t>结转和结余0万元，总计</w:t>
      </w:r>
      <w:r>
        <w:rPr>
          <w:rFonts w:hint="eastAsia" w:ascii="仿宋_GB2312" w:hAnsi="仿宋" w:eastAsia="仿宋_GB2312"/>
          <w:color w:val="000000"/>
          <w:sz w:val="32"/>
          <w:szCs w:val="32"/>
          <w:lang w:val="en-US" w:eastAsia="zh-CN"/>
        </w:rPr>
        <w:t>2,046.13</w:t>
      </w:r>
      <w:r>
        <w:rPr>
          <w:rFonts w:hint="eastAsia" w:cs="黑体" w:asciiTheme="minorEastAsia" w:hAnsiTheme="minorEastAsia" w:eastAsiaTheme="minorEastAsia"/>
          <w:color w:val="000000"/>
          <w:kern w:val="0"/>
          <w:sz w:val="32"/>
          <w:szCs w:val="32"/>
          <w:lang w:val="en-US" w:eastAsia="zh-CN" w:bidi="ar-SA"/>
        </w:rPr>
        <w:t>万元，与2020年度财政拨款支出（</w:t>
      </w:r>
      <w:r>
        <w:rPr>
          <w:rFonts w:hint="eastAsia" w:ascii="仿宋" w:hAnsi="仿宋" w:eastAsia="仿宋"/>
          <w:color w:val="000000"/>
          <w:kern w:val="1"/>
          <w:sz w:val="32"/>
          <w:szCs w:val="24"/>
        </w:rPr>
        <w:t>4,570.23</w:t>
      </w:r>
      <w:r>
        <w:rPr>
          <w:rFonts w:hint="eastAsia" w:cs="黑体" w:asciiTheme="minorEastAsia" w:hAnsiTheme="minorEastAsia" w:eastAsiaTheme="minorEastAsia"/>
          <w:color w:val="000000"/>
          <w:kern w:val="0"/>
          <w:sz w:val="32"/>
          <w:szCs w:val="32"/>
          <w:lang w:val="en-US" w:eastAsia="zh-CN" w:bidi="ar-SA"/>
        </w:rPr>
        <w:t>万元）相比，减少</w:t>
      </w:r>
      <w:r>
        <w:rPr>
          <w:rFonts w:hint="eastAsia" w:ascii="仿宋" w:hAnsi="仿宋" w:eastAsia="仿宋"/>
          <w:color w:val="000000"/>
          <w:kern w:val="1"/>
          <w:sz w:val="32"/>
          <w:szCs w:val="24"/>
          <w:lang w:val="en-US" w:eastAsia="zh-CN"/>
        </w:rPr>
        <w:t>2524.1</w:t>
      </w:r>
      <w:r>
        <w:rPr>
          <w:rFonts w:hint="eastAsia" w:cs="黑体" w:asciiTheme="minorEastAsia" w:hAnsiTheme="minorEastAsia" w:eastAsiaTheme="minorEastAsia"/>
          <w:color w:val="000000"/>
          <w:kern w:val="0"/>
          <w:sz w:val="32"/>
          <w:szCs w:val="32"/>
          <w:lang w:val="en-US" w:eastAsia="zh-CN" w:bidi="ar-SA"/>
        </w:rPr>
        <w:t>万元，减少</w:t>
      </w:r>
      <w:r>
        <w:rPr>
          <w:rFonts w:hint="eastAsia" w:ascii="仿宋" w:hAnsi="仿宋" w:eastAsia="仿宋"/>
          <w:color w:val="000000"/>
          <w:kern w:val="1"/>
          <w:sz w:val="32"/>
          <w:szCs w:val="24"/>
          <w:lang w:val="en-US" w:eastAsia="zh-CN"/>
        </w:rPr>
        <w:t>55.23</w:t>
      </w:r>
      <w:r>
        <w:rPr>
          <w:rFonts w:hint="eastAsia" w:cs="黑体" w:asciiTheme="minorEastAsia" w:hAnsiTheme="minorEastAsia" w:eastAsiaTheme="minorEastAsia"/>
          <w:color w:val="000000"/>
          <w:kern w:val="0"/>
          <w:sz w:val="32"/>
          <w:szCs w:val="32"/>
          <w:lang w:val="en-US" w:eastAsia="zh-CN" w:bidi="ar-SA"/>
        </w:rPr>
        <w:t>%，主要是因为2020年拆除南校区增加财政拔款收入。</w:t>
      </w:r>
    </w:p>
    <w:p>
      <w:pPr>
        <w:pStyle w:val="7"/>
        <w:rPr>
          <w:rFonts w:hAnsi="黑体"/>
          <w:b/>
          <w:sz w:val="32"/>
          <w:szCs w:val="32"/>
        </w:rPr>
      </w:pPr>
      <w:r>
        <w:rPr>
          <w:rFonts w:hint="eastAsia" w:hAnsi="黑体"/>
          <w:b/>
          <w:sz w:val="32"/>
          <w:szCs w:val="32"/>
        </w:rPr>
        <w:t>五、一般公共预算财政拨款支出决算情况说明</w:t>
      </w:r>
    </w:p>
    <w:p>
      <w:pPr>
        <w:pStyle w:val="7"/>
        <w:ind w:firstLine="321" w:firstLineChars="100"/>
        <w:rPr>
          <w:rFonts w:asciiTheme="minorEastAsia" w:hAnsiTheme="minorEastAsia" w:eastAsiaTheme="minorEastAsia"/>
          <w:b w:val="0"/>
          <w:bCs/>
          <w:sz w:val="32"/>
          <w:szCs w:val="32"/>
        </w:rPr>
      </w:pPr>
      <w:r>
        <w:rPr>
          <w:rFonts w:hint="eastAsia" w:asciiTheme="minorEastAsia" w:hAnsiTheme="minorEastAsia" w:eastAsiaTheme="minorEastAsia"/>
          <w:b/>
          <w:bCs w:val="0"/>
          <w:sz w:val="32"/>
          <w:szCs w:val="32"/>
        </w:rPr>
        <w:t>（一）财政拨款支出决算总体情况</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auto"/>
          <w:sz w:val="32"/>
          <w:szCs w:val="32"/>
        </w:rPr>
        <w:t>2021年度财政拨款支出</w:t>
      </w:r>
      <w:r>
        <w:rPr>
          <w:rFonts w:hint="eastAsia" w:asciiTheme="minorEastAsia" w:hAnsiTheme="minorEastAsia" w:eastAsiaTheme="minorEastAsia"/>
          <w:color w:val="auto"/>
          <w:sz w:val="32"/>
          <w:szCs w:val="32"/>
          <w:lang w:val="en-US" w:eastAsia="zh-CN"/>
        </w:rPr>
        <w:t>2046.13</w:t>
      </w:r>
      <w:r>
        <w:rPr>
          <w:rFonts w:hint="eastAsia" w:asciiTheme="minorEastAsia" w:hAnsiTheme="minorEastAsia" w:eastAsiaTheme="minorEastAsia"/>
          <w:color w:val="auto"/>
          <w:sz w:val="32"/>
          <w:szCs w:val="32"/>
        </w:rPr>
        <w:t>万元，占本年支出合计的</w:t>
      </w:r>
      <w:r>
        <w:rPr>
          <w:rFonts w:hint="eastAsia" w:asciiTheme="minorEastAsia" w:hAnsiTheme="minorEastAsia" w:eastAsiaTheme="minorEastAsia"/>
          <w:color w:val="auto"/>
          <w:sz w:val="32"/>
          <w:szCs w:val="32"/>
          <w:lang w:val="en-US" w:eastAsia="zh-CN"/>
        </w:rPr>
        <w:t>56.66</w:t>
      </w:r>
      <w:r>
        <w:rPr>
          <w:rFonts w:hint="eastAsia" w:asciiTheme="minorEastAsia" w:hAnsiTheme="minorEastAsia" w:eastAsiaTheme="minorEastAsia"/>
          <w:color w:val="auto"/>
          <w:sz w:val="32"/>
          <w:szCs w:val="32"/>
        </w:rPr>
        <w:t>%，</w:t>
      </w:r>
      <w:r>
        <w:rPr>
          <w:rFonts w:hint="eastAsia" w:asciiTheme="minorEastAsia" w:hAnsiTheme="minorEastAsia" w:eastAsiaTheme="minorEastAsia"/>
          <w:sz w:val="32"/>
          <w:szCs w:val="32"/>
        </w:rPr>
        <w:t>与上年相比，财政拨款支出减少</w:t>
      </w:r>
      <w:r>
        <w:rPr>
          <w:rFonts w:hint="eastAsia" w:ascii="仿宋" w:hAnsi="仿宋" w:eastAsia="仿宋"/>
          <w:color w:val="000000"/>
          <w:kern w:val="1"/>
          <w:sz w:val="32"/>
          <w:szCs w:val="24"/>
          <w:lang w:val="en-US" w:eastAsia="zh-CN"/>
        </w:rPr>
        <w:t>2524.1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55.23</w:t>
      </w:r>
      <w:r>
        <w:rPr>
          <w:rFonts w:hint="eastAsia" w:asciiTheme="minorEastAsia" w:hAnsiTheme="minorEastAsia" w:eastAsiaTheme="minorEastAsia"/>
          <w:sz w:val="32"/>
          <w:szCs w:val="32"/>
        </w:rPr>
        <w:t>%，</w:t>
      </w:r>
      <w:r>
        <w:rPr>
          <w:rFonts w:hint="eastAsia" w:ascii="宋体" w:hAnsi="宋体" w:eastAsia="宋体" w:cs="宋体"/>
          <w:sz w:val="32"/>
          <w:szCs w:val="32"/>
        </w:rPr>
        <w:t>主要是因为</w:t>
      </w:r>
      <w:r>
        <w:rPr>
          <w:rFonts w:hint="eastAsia" w:ascii="宋体" w:hAnsi="宋体" w:eastAsia="宋体" w:cs="宋体"/>
          <w:color w:val="000000"/>
          <w:kern w:val="1"/>
          <w:sz w:val="32"/>
          <w:szCs w:val="24"/>
          <w:lang w:val="en-US" w:eastAsia="zh-CN"/>
        </w:rPr>
        <w:t>2020年</w:t>
      </w:r>
      <w:r>
        <w:rPr>
          <w:rFonts w:hint="eastAsia" w:ascii="宋体" w:hAnsi="宋体" w:eastAsia="宋体" w:cs="宋体"/>
          <w:color w:val="000000"/>
          <w:kern w:val="1"/>
          <w:sz w:val="32"/>
          <w:szCs w:val="24"/>
          <w:lang w:eastAsia="zh-CN"/>
        </w:rPr>
        <w:t>拆除南校区增加财政拔款收入</w:t>
      </w:r>
      <w:r>
        <w:rPr>
          <w:rFonts w:hint="eastAsia" w:ascii="宋体" w:hAnsi="宋体" w:eastAsia="宋体" w:cs="宋体"/>
          <w:color w:val="000000"/>
          <w:kern w:val="0"/>
          <w:sz w:val="32"/>
          <w:szCs w:val="32"/>
          <w:lang w:val="en-US" w:eastAsia="zh-CN" w:bidi="ar-SA"/>
        </w:rPr>
        <w:t>。</w:t>
      </w:r>
    </w:p>
    <w:p>
      <w:pPr>
        <w:pStyle w:val="7"/>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2046.13</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%；教育支出</w:t>
      </w:r>
      <w:r>
        <w:rPr>
          <w:rFonts w:hint="eastAsia" w:asciiTheme="minorEastAsia" w:hAnsiTheme="minorEastAsia" w:eastAsiaTheme="minorEastAsia"/>
          <w:sz w:val="32"/>
          <w:szCs w:val="32"/>
          <w:lang w:val="en-US" w:eastAsia="zh-CN"/>
        </w:rPr>
        <w:t>2041.46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99.77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4.67万元，占0.23%。</w:t>
      </w:r>
    </w:p>
    <w:p>
      <w:pPr>
        <w:pStyle w:val="7"/>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1998.79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2041.46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102.13</w:t>
      </w:r>
      <w:r>
        <w:rPr>
          <w:rFonts w:hint="eastAsia" w:asciiTheme="minorEastAsia" w:hAnsiTheme="minorEastAsia" w:eastAsiaTheme="minorEastAsia"/>
          <w:sz w:val="32"/>
          <w:szCs w:val="32"/>
        </w:rPr>
        <w:t>%，其中：</w:t>
      </w:r>
    </w:p>
    <w:p>
      <w:pPr>
        <w:pStyle w:val="7"/>
        <w:numPr>
          <w:ilvl w:val="0"/>
          <w:numId w:val="1"/>
        </w:numPr>
        <w:ind w:firstLine="640" w:firstLineChars="20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教育支出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w:t>
      </w:r>
      <w:r>
        <w:rPr>
          <w:rFonts w:hint="eastAsia" w:asciiTheme="minorEastAsia" w:hAnsiTheme="minorEastAsia" w:eastAsiaTheme="minorEastAsia"/>
          <w:color w:val="000000" w:themeColor="text1"/>
          <w:sz w:val="32"/>
          <w:szCs w:val="32"/>
          <w:lang w:eastAsia="zh-CN"/>
          <w14:textFill>
            <w14:solidFill>
              <w14:schemeClr w14:val="tx1"/>
            </w14:solidFill>
          </w14:textFill>
        </w:rPr>
        <w:t>职业教育</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-中等职业教育</w:t>
      </w:r>
    </w:p>
    <w:p>
      <w:pPr>
        <w:pStyle w:val="7"/>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1998.79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2041.46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102.13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学生人数增加，教师人数增加，单位运行经费增加。</w:t>
      </w:r>
    </w:p>
    <w:p>
      <w:pPr>
        <w:pStyle w:val="7"/>
        <w:numPr>
          <w:ilvl w:val="0"/>
          <w:numId w:val="1"/>
        </w:numPr>
        <w:ind w:left="0" w:leftChars="0"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 抚恤 死亡抚恤</w:t>
      </w:r>
    </w:p>
    <w:p>
      <w:pPr>
        <w:pStyle w:val="7"/>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预算指标追加。</w:t>
      </w:r>
    </w:p>
    <w:p>
      <w:pPr>
        <w:pStyle w:val="7"/>
        <w:rPr>
          <w:rFonts w:hAnsi="黑体"/>
          <w:b/>
          <w:sz w:val="32"/>
          <w:szCs w:val="32"/>
        </w:rPr>
      </w:pPr>
      <w:r>
        <w:rPr>
          <w:rFonts w:hint="eastAsia" w:hAnsi="黑体"/>
          <w:b/>
          <w:sz w:val="32"/>
          <w:szCs w:val="32"/>
        </w:rPr>
        <w:t>六、一般公共预算财政拨款基本支出决算情况说明</w:t>
      </w:r>
    </w:p>
    <w:p>
      <w:pPr>
        <w:pStyle w:val="7"/>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2046.13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1904.18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93.06</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绩效工资、养老保险、职业年金、基本医疗保险、其他社会保障、住房公积金、其他工资福利、其他对个人和家庭补助、抚恤金、生活补助、奖励金</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141.95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6.94</w:t>
      </w:r>
      <w:r>
        <w:rPr>
          <w:rFonts w:hint="eastAsia" w:asciiTheme="minorEastAsia" w:hAnsiTheme="minorEastAsia" w:eastAsiaTheme="minorEastAsia"/>
          <w:sz w:val="32"/>
          <w:szCs w:val="32"/>
        </w:rPr>
        <w:t>%，主要包括手续费</w:t>
      </w:r>
      <w:r>
        <w:rPr>
          <w:rFonts w:hint="eastAsia" w:asciiTheme="minorEastAsia" w:hAnsiTheme="minorEastAsia" w:eastAsiaTheme="minorEastAsia"/>
          <w:sz w:val="32"/>
          <w:szCs w:val="32"/>
          <w:lang w:eastAsia="zh-CN"/>
        </w:rPr>
        <w:t>、邮电费、劳务费、委托业务费、工会经费、其他交通费</w:t>
      </w:r>
      <w:r>
        <w:rPr>
          <w:rFonts w:hint="eastAsia" w:asciiTheme="minorEastAsia" w:hAnsiTheme="minorEastAsia" w:eastAsiaTheme="minorEastAsia"/>
          <w:sz w:val="32"/>
          <w:szCs w:val="32"/>
        </w:rPr>
        <w:t>。</w:t>
      </w:r>
    </w:p>
    <w:p>
      <w:pPr>
        <w:pStyle w:val="7"/>
        <w:rPr>
          <w:rFonts w:hAnsi="黑体"/>
          <w:b/>
          <w:sz w:val="32"/>
          <w:szCs w:val="32"/>
        </w:rPr>
      </w:pPr>
      <w:r>
        <w:rPr>
          <w:rFonts w:hint="eastAsia" w:hAnsi="黑体"/>
          <w:b/>
          <w:sz w:val="32"/>
          <w:szCs w:val="32"/>
        </w:rPr>
        <w:t>七、一般公共预算财政拨款“三公”经费支出决算情况说明</w:t>
      </w:r>
    </w:p>
    <w:p>
      <w:pPr>
        <w:pStyle w:val="7"/>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%，其中：</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公务接待大幅减少，与上年相比增加</w:t>
      </w:r>
      <w:r>
        <w:rPr>
          <w:rFonts w:hint="eastAsia" w:asciiTheme="minorEastAsia" w:hAnsiTheme="minorEastAsia" w:eastAsiaTheme="minorEastAsia"/>
          <w:sz w:val="32"/>
          <w:szCs w:val="32"/>
          <w:lang w:val="en-US" w:eastAsia="zh-CN"/>
        </w:rPr>
        <w:t>0.06万元，增加6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，增加的主要原因是</w:t>
      </w: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lang w:eastAsia="zh-CN"/>
        </w:rPr>
        <w:t>常驻地范围外接待在</w:t>
      </w:r>
      <w:r>
        <w:rPr>
          <w:rFonts w:hint="eastAsia" w:asciiTheme="minorEastAsia" w:hAnsiTheme="minorEastAsia" w:eastAsiaTheme="minorEastAsia"/>
          <w:sz w:val="32"/>
          <w:szCs w:val="32"/>
          <w:lang w:val="en-US" w:eastAsia="zh-CN"/>
        </w:rPr>
        <w:t>2020年的基础上增加了一次</w:t>
      </w:r>
      <w:r>
        <w:rPr>
          <w:rFonts w:hint="eastAsia" w:asciiTheme="minorEastAsia" w:hAnsiTheme="minorEastAsia" w:eastAsiaTheme="minorEastAsia"/>
          <w:sz w:val="32"/>
          <w:szCs w:val="32"/>
        </w:rPr>
        <w:t>。</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7"/>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7"/>
        <w:numPr>
          <w:ilvl w:val="0"/>
          <w:numId w:val="2"/>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7"/>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人，主要是</w:t>
      </w:r>
      <w:r>
        <w:rPr>
          <w:rFonts w:hint="eastAsia" w:asciiTheme="minorEastAsia" w:hAnsiTheme="minorEastAsia" w:eastAsiaTheme="minorEastAsia"/>
          <w:sz w:val="32"/>
          <w:szCs w:val="32"/>
          <w:lang w:eastAsia="zh-CN"/>
        </w:rPr>
        <w:t>湖南省卫生健康委培训中心一行</w:t>
      </w:r>
      <w:r>
        <w:rPr>
          <w:rFonts w:hint="eastAsia" w:asciiTheme="minorEastAsia" w:hAnsiTheme="minorEastAsia" w:eastAsiaTheme="minorEastAsia"/>
          <w:sz w:val="32"/>
          <w:szCs w:val="32"/>
          <w:lang w:val="en-US" w:eastAsia="zh-CN"/>
        </w:rPr>
        <w:t>4人来我单位开展招生相关事宜</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7"/>
        <w:rPr>
          <w:rFonts w:hAnsi="黑体"/>
          <w:b/>
          <w:sz w:val="32"/>
          <w:szCs w:val="32"/>
        </w:rPr>
      </w:pPr>
      <w:r>
        <w:rPr>
          <w:rFonts w:hint="eastAsia" w:hAnsi="黑体"/>
          <w:b/>
          <w:sz w:val="32"/>
          <w:szCs w:val="32"/>
        </w:rPr>
        <w:t>八、政府性基金预算收入支出决算情况</w:t>
      </w:r>
    </w:p>
    <w:p>
      <w:pPr>
        <w:pStyle w:val="7"/>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九、国有资本经营预算财政拨款收入支出决算</w:t>
      </w:r>
    </w:p>
    <w:p>
      <w:pPr>
        <w:pStyle w:val="7"/>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国有资本经营预算财政拨款收入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7"/>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万元，比年初预算数（或者上年决算数）增加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7"/>
        <w:rPr>
          <w:rFonts w:hAnsi="黑体"/>
          <w:b/>
          <w:sz w:val="32"/>
          <w:szCs w:val="32"/>
        </w:rPr>
      </w:pPr>
      <w:r>
        <w:rPr>
          <w:rFonts w:hint="eastAsia" w:hAnsi="黑体"/>
          <w:b/>
          <w:sz w:val="32"/>
          <w:szCs w:val="32"/>
        </w:rPr>
        <w:t>十</w:t>
      </w:r>
      <w:r>
        <w:rPr>
          <w:rFonts w:hint="eastAsia" w:hAnsi="黑体"/>
          <w:b/>
          <w:sz w:val="32"/>
          <w:szCs w:val="32"/>
          <w:lang w:eastAsia="zh-CN"/>
        </w:rPr>
        <w:t>一</w:t>
      </w:r>
      <w:r>
        <w:rPr>
          <w:rFonts w:hint="eastAsia" w:hAnsi="黑体"/>
          <w:b/>
          <w:sz w:val="32"/>
          <w:szCs w:val="32"/>
        </w:rPr>
        <w:t>、一般性支出情况说明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0.18</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2020年校园文化艺术节</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校园文化艺术节活动事宜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0.21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班主任线上</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班主任业务能力提升线上培训</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用于安保培训，人数</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lang w:eastAsia="zh-CN"/>
        </w:rPr>
        <w:t>人，内容为学校安保人员必须持证上岗；</w:t>
      </w:r>
      <w:r>
        <w:rPr>
          <w:rFonts w:hint="eastAsia" w:asciiTheme="minorEastAsia" w:hAnsiTheme="minorEastAsia" w:eastAsiaTheme="minorEastAsia"/>
          <w:sz w:val="32"/>
          <w:szCs w:val="32"/>
        </w:rPr>
        <w:t>举办</w:t>
      </w:r>
      <w:r>
        <w:rPr>
          <w:rFonts w:hint="eastAsia" w:asciiTheme="minorEastAsia" w:hAnsiTheme="minorEastAsia" w:eastAsiaTheme="minorEastAsia"/>
          <w:sz w:val="32"/>
          <w:szCs w:val="32"/>
          <w:lang w:eastAsia="zh-CN"/>
        </w:rPr>
        <w:t>建党一百周年大型文艺汇演，</w:t>
      </w:r>
      <w:r>
        <w:rPr>
          <w:rFonts w:hint="eastAsia" w:asciiTheme="minorEastAsia" w:hAnsiTheme="minorEastAsia" w:eastAsiaTheme="minorEastAsia"/>
          <w:sz w:val="32"/>
          <w:szCs w:val="32"/>
        </w:rPr>
        <w:t>开支</w:t>
      </w:r>
      <w:r>
        <w:rPr>
          <w:rFonts w:hint="eastAsia" w:asciiTheme="minorEastAsia" w:hAnsiTheme="minorEastAsia" w:eastAsiaTheme="minorEastAsia"/>
          <w:sz w:val="32"/>
          <w:szCs w:val="32"/>
          <w:lang w:val="en-US" w:eastAsia="zh-CN"/>
        </w:rPr>
        <w:t>18.06</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晚会设备租赁等</w:t>
      </w:r>
      <w:r>
        <w:rPr>
          <w:rFonts w:hint="eastAsia" w:asciiTheme="minorEastAsia" w:hAnsiTheme="minorEastAsia" w:eastAsiaTheme="minorEastAsia"/>
          <w:sz w:val="32"/>
          <w:szCs w:val="32"/>
        </w:rPr>
        <w:t>。（注：三类会议、培训活动，节庆、晚会、论坛、赛事等活动，请分项列明活动计划及经费预算情况）</w:t>
      </w:r>
    </w:p>
    <w:p>
      <w:pPr>
        <w:pStyle w:val="7"/>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1153.65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1003.16</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150.49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政府采购</w:t>
      </w:r>
      <w:r>
        <w:rPr>
          <w:rFonts w:hint="eastAsia" w:asciiTheme="minorEastAsia" w:hAnsiTheme="minorEastAsia" w:eastAsiaTheme="minorEastAsia"/>
          <w:sz w:val="32"/>
          <w:szCs w:val="32"/>
        </w:rPr>
        <w:t>授予中小企业合同金额</w:t>
      </w:r>
      <w:r>
        <w:rPr>
          <w:rFonts w:hint="eastAsia" w:asciiTheme="minorEastAsia" w:hAnsiTheme="minorEastAsia" w:eastAsiaTheme="minorEastAsia"/>
          <w:sz w:val="32"/>
          <w:szCs w:val="32"/>
          <w:lang w:val="en-US" w:eastAsia="zh-CN"/>
        </w:rPr>
        <w:t>1153.65</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150.49</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13.04</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86.96</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13.04</w:t>
      </w:r>
      <w:r>
        <w:rPr>
          <w:rFonts w:hint="eastAsia" w:asciiTheme="minorEastAsia" w:hAnsiTheme="minorEastAsia" w:eastAsiaTheme="minorEastAsia"/>
          <w:sz w:val="32"/>
          <w:szCs w:val="32"/>
        </w:rPr>
        <w:t>%。</w:t>
      </w:r>
    </w:p>
    <w:p>
      <w:pPr>
        <w:pStyle w:val="7"/>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已上交区财政局国有资产管理部门，相关手续正在办理，学校无车辆使用情况。</w:t>
      </w:r>
      <w:r>
        <w:rPr>
          <w:rFonts w:hint="eastAsia" w:asciiTheme="minorEastAsia" w:hAnsiTheme="minorEastAsia" w:eastAsiaTheme="minorEastAsia"/>
          <w:sz w:val="32"/>
          <w:szCs w:val="32"/>
        </w:rPr>
        <w:t>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7"/>
        <w:rPr>
          <w:rFonts w:hint="eastAsia"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pStyle w:val="7"/>
        <w:ind w:firstLine="321" w:firstLineChars="100"/>
        <w:rPr>
          <w:rFonts w:hint="eastAsia" w:asciiTheme="minorEastAsia" w:hAnsiTheme="minorEastAsia" w:eastAsiaTheme="minorEastAsia" w:cstheme="minorEastAsia"/>
          <w:b/>
          <w:bCs/>
          <w:sz w:val="32"/>
          <w:szCs w:val="32"/>
          <w:highlight w:val="white"/>
        </w:rPr>
      </w:pPr>
      <w:r>
        <w:rPr>
          <w:rFonts w:hint="eastAsia" w:asciiTheme="minorEastAsia" w:hAnsiTheme="minorEastAsia" w:eastAsiaTheme="minorEastAsia" w:cstheme="minorEastAsia"/>
          <w:b/>
          <w:bCs/>
          <w:sz w:val="32"/>
          <w:szCs w:val="32"/>
          <w:highlight w:val="white"/>
          <w:lang w:val="en-US" w:eastAsia="zh-CN"/>
        </w:rPr>
        <w:t>（1）</w:t>
      </w:r>
      <w:r>
        <w:rPr>
          <w:rFonts w:hint="eastAsia" w:asciiTheme="minorEastAsia" w:hAnsiTheme="minorEastAsia" w:eastAsiaTheme="minorEastAsia" w:cstheme="minorEastAsia"/>
          <w:b/>
          <w:bCs/>
          <w:sz w:val="32"/>
          <w:szCs w:val="32"/>
          <w:highlight w:val="white"/>
        </w:rPr>
        <w:t>绩效管理</w:t>
      </w:r>
      <w:r>
        <w:rPr>
          <w:rFonts w:hint="eastAsia" w:asciiTheme="minorEastAsia" w:hAnsiTheme="minorEastAsia" w:eastAsiaTheme="minorEastAsia" w:cstheme="minorEastAsia"/>
          <w:b/>
          <w:bCs/>
          <w:sz w:val="32"/>
          <w:szCs w:val="32"/>
          <w:highlight w:val="white"/>
          <w:lang w:eastAsia="zh-CN"/>
        </w:rPr>
        <w:t>评价</w:t>
      </w:r>
      <w:r>
        <w:rPr>
          <w:rFonts w:hint="eastAsia" w:asciiTheme="minorEastAsia" w:hAnsiTheme="minorEastAsia" w:eastAsiaTheme="minorEastAsia" w:cstheme="minorEastAsia"/>
          <w:b/>
          <w:bCs/>
          <w:sz w:val="32"/>
          <w:szCs w:val="32"/>
          <w:highlight w:val="white"/>
        </w:rPr>
        <w:t>工作开展情况。</w:t>
      </w:r>
    </w:p>
    <w:p>
      <w:pPr>
        <w:widowControl w:val="0"/>
        <w:numPr>
          <w:ilvl w:val="0"/>
          <w:numId w:val="0"/>
        </w:numPr>
        <w:spacing w:line="560" w:lineRule="exact"/>
        <w:ind w:firstLine="640" w:firstLineChars="200"/>
        <w:rPr>
          <w:rFonts w:hint="eastAsia" w:ascii="仿宋_GB2312" w:eastAsia="仿宋_GB2312"/>
          <w:sz w:val="32"/>
          <w:szCs w:val="32"/>
          <w:highlight w:val="white"/>
        </w:rPr>
      </w:pPr>
      <w:r>
        <w:rPr>
          <w:rFonts w:hint="eastAsia" w:ascii="仿宋_GB2312" w:eastAsia="仿宋_GB2312"/>
          <w:sz w:val="32"/>
          <w:szCs w:val="32"/>
          <w:highlight w:val="white"/>
          <w:lang w:eastAsia="zh-CN"/>
        </w:rPr>
        <w:t>益阳市卫生职业技术学校</w:t>
      </w:r>
      <w:r>
        <w:rPr>
          <w:rFonts w:hint="eastAsia" w:ascii="仿宋_GB2312" w:eastAsia="仿宋_GB2312"/>
          <w:sz w:val="32"/>
          <w:szCs w:val="32"/>
          <w:highlight w:val="white"/>
        </w:rPr>
        <w:t>按照区财政</w:t>
      </w:r>
      <w:r>
        <w:rPr>
          <w:rFonts w:hint="eastAsia" w:ascii="仿宋_GB2312" w:eastAsia="仿宋_GB2312"/>
          <w:sz w:val="32"/>
          <w:szCs w:val="32"/>
          <w:highlight w:val="white"/>
          <w:lang w:eastAsia="zh-CN"/>
        </w:rPr>
        <w:t>局</w:t>
      </w:r>
      <w:r>
        <w:rPr>
          <w:rFonts w:hint="eastAsia" w:ascii="仿宋_GB2312" w:eastAsia="仿宋_GB2312"/>
          <w:sz w:val="32"/>
          <w:szCs w:val="32"/>
          <w:highlight w:val="white"/>
        </w:rPr>
        <w:t>绩效</w:t>
      </w:r>
      <w:r>
        <w:rPr>
          <w:rFonts w:hint="eastAsia" w:ascii="仿宋_GB2312" w:eastAsia="仿宋_GB2312"/>
          <w:sz w:val="32"/>
          <w:szCs w:val="32"/>
          <w:highlight w:val="white"/>
          <w:lang w:eastAsia="zh-CN"/>
        </w:rPr>
        <w:t>评价</w:t>
      </w:r>
      <w:r>
        <w:rPr>
          <w:rFonts w:hint="eastAsia" w:ascii="仿宋_GB2312" w:eastAsia="仿宋_GB2312"/>
          <w:sz w:val="32"/>
          <w:szCs w:val="32"/>
          <w:highlight w:val="white"/>
        </w:rPr>
        <w:t>部门</w:t>
      </w:r>
      <w:r>
        <w:rPr>
          <w:rFonts w:hint="eastAsia" w:ascii="仿宋_GB2312" w:eastAsia="仿宋_GB2312"/>
          <w:sz w:val="32"/>
          <w:szCs w:val="32"/>
          <w:highlight w:val="white"/>
          <w:lang w:eastAsia="zh-CN"/>
        </w:rPr>
        <w:t>的相关工作</w:t>
      </w:r>
      <w:r>
        <w:rPr>
          <w:rFonts w:hint="eastAsia" w:ascii="仿宋_GB2312" w:eastAsia="仿宋_GB2312"/>
          <w:sz w:val="32"/>
          <w:szCs w:val="32"/>
          <w:highlight w:val="white"/>
        </w:rPr>
        <w:t>要求</w:t>
      </w:r>
      <w:r>
        <w:rPr>
          <w:rFonts w:hint="eastAsia" w:ascii="仿宋_GB2312" w:eastAsia="仿宋_GB2312"/>
          <w:sz w:val="32"/>
          <w:szCs w:val="32"/>
          <w:highlight w:val="white"/>
          <w:lang w:eastAsia="zh-CN"/>
        </w:rPr>
        <w:t>，</w:t>
      </w:r>
      <w:r>
        <w:rPr>
          <w:rFonts w:hint="eastAsia" w:ascii="仿宋_GB2312" w:eastAsia="仿宋_GB2312"/>
          <w:sz w:val="32"/>
          <w:szCs w:val="32"/>
          <w:highlight w:val="white"/>
        </w:rPr>
        <w:t>在年初</w:t>
      </w:r>
      <w:r>
        <w:rPr>
          <w:rFonts w:hint="eastAsia" w:ascii="仿宋_GB2312" w:eastAsia="仿宋_GB2312"/>
          <w:sz w:val="32"/>
          <w:szCs w:val="32"/>
          <w:highlight w:val="white"/>
          <w:lang w:eastAsia="zh-CN"/>
        </w:rPr>
        <w:t>预算编制时对我校</w:t>
      </w:r>
      <w:r>
        <w:rPr>
          <w:rFonts w:hint="eastAsia" w:ascii="仿宋_GB2312" w:eastAsia="仿宋_GB2312"/>
          <w:sz w:val="32"/>
          <w:szCs w:val="32"/>
          <w:highlight w:val="white"/>
        </w:rPr>
        <w:t>进行了部门整体</w:t>
      </w:r>
      <w:r>
        <w:rPr>
          <w:rFonts w:hint="eastAsia" w:ascii="仿宋_GB2312" w:eastAsia="仿宋_GB2312"/>
          <w:sz w:val="32"/>
          <w:szCs w:val="32"/>
          <w:highlight w:val="white"/>
          <w:lang w:eastAsia="zh-CN"/>
        </w:rPr>
        <w:t>支出</w:t>
      </w:r>
      <w:r>
        <w:rPr>
          <w:rFonts w:hint="eastAsia" w:ascii="仿宋_GB2312" w:eastAsia="仿宋_GB2312"/>
          <w:sz w:val="32"/>
          <w:szCs w:val="32"/>
          <w:highlight w:val="white"/>
        </w:rPr>
        <w:t>绩效目标申报</w:t>
      </w:r>
      <w:r>
        <w:rPr>
          <w:rFonts w:hint="eastAsia" w:ascii="仿宋_GB2312" w:eastAsia="仿宋_GB2312"/>
          <w:sz w:val="32"/>
          <w:szCs w:val="32"/>
          <w:highlight w:val="white"/>
          <w:lang w:eastAsia="zh-CN"/>
        </w:rPr>
        <w:t>。</w:t>
      </w:r>
      <w:r>
        <w:rPr>
          <w:rFonts w:hint="eastAsia" w:ascii="仿宋_GB2312" w:eastAsia="仿宋_GB2312"/>
          <w:sz w:val="32"/>
          <w:szCs w:val="32"/>
          <w:highlight w:val="white"/>
        </w:rPr>
        <w:t>年度预算执行完毕后，根据区财政</w:t>
      </w:r>
      <w:r>
        <w:rPr>
          <w:rFonts w:hint="eastAsia" w:ascii="仿宋_GB2312" w:eastAsia="仿宋_GB2312"/>
          <w:sz w:val="32"/>
          <w:szCs w:val="32"/>
          <w:highlight w:val="white"/>
          <w:lang w:eastAsia="zh-CN"/>
        </w:rPr>
        <w:t>局</w:t>
      </w:r>
      <w:r>
        <w:rPr>
          <w:rFonts w:hint="eastAsia" w:ascii="仿宋_GB2312" w:eastAsia="仿宋_GB2312"/>
          <w:sz w:val="32"/>
          <w:szCs w:val="32"/>
          <w:highlight w:val="white"/>
        </w:rPr>
        <w:t>绩效</w:t>
      </w:r>
      <w:r>
        <w:rPr>
          <w:rFonts w:hint="eastAsia" w:ascii="仿宋_GB2312" w:eastAsia="仿宋_GB2312"/>
          <w:sz w:val="32"/>
          <w:szCs w:val="32"/>
          <w:highlight w:val="white"/>
          <w:lang w:eastAsia="zh-CN"/>
        </w:rPr>
        <w:t>评价</w:t>
      </w:r>
      <w:r>
        <w:rPr>
          <w:rFonts w:hint="eastAsia" w:ascii="仿宋_GB2312" w:eastAsia="仿宋_GB2312"/>
          <w:sz w:val="32"/>
          <w:szCs w:val="32"/>
          <w:highlight w:val="white"/>
        </w:rPr>
        <w:t>部门的统一安排，进行了部门整体支出绩效</w:t>
      </w:r>
      <w:r>
        <w:rPr>
          <w:rFonts w:hint="eastAsia" w:ascii="仿宋_GB2312" w:eastAsia="仿宋_GB2312"/>
          <w:sz w:val="32"/>
          <w:szCs w:val="32"/>
          <w:highlight w:val="white"/>
          <w:lang w:eastAsia="zh-CN"/>
        </w:rPr>
        <w:t>评价</w:t>
      </w:r>
      <w:r>
        <w:rPr>
          <w:rFonts w:hint="eastAsia" w:ascii="仿宋_GB2312" w:eastAsia="仿宋_GB2312"/>
          <w:sz w:val="32"/>
          <w:szCs w:val="32"/>
          <w:highlight w:val="white"/>
        </w:rPr>
        <w:t>，并</w:t>
      </w:r>
      <w:r>
        <w:rPr>
          <w:rFonts w:hint="eastAsia" w:ascii="仿宋_GB2312" w:eastAsia="仿宋_GB2312"/>
          <w:sz w:val="32"/>
          <w:szCs w:val="32"/>
          <w:highlight w:val="white"/>
          <w:lang w:eastAsia="zh-CN"/>
        </w:rPr>
        <w:t>提</w:t>
      </w:r>
      <w:r>
        <w:rPr>
          <w:rFonts w:hint="eastAsia" w:ascii="仿宋_GB2312" w:eastAsia="仿宋_GB2312"/>
          <w:sz w:val="32"/>
          <w:szCs w:val="32"/>
          <w:highlight w:val="white"/>
        </w:rPr>
        <w:t>交了自评报告。</w:t>
      </w:r>
    </w:p>
    <w:p>
      <w:pPr>
        <w:widowControl w:val="0"/>
        <w:numPr>
          <w:ilvl w:val="0"/>
          <w:numId w:val="0"/>
        </w:numPr>
        <w:spacing w:line="560" w:lineRule="exact"/>
        <w:ind w:firstLine="321" w:firstLineChars="100"/>
        <w:rPr>
          <w:rFonts w:hint="eastAsia" w:asciiTheme="minorEastAsia" w:hAnsiTheme="minorEastAsia" w:eastAsiaTheme="minorEastAsia" w:cstheme="minorEastAsia"/>
          <w:b/>
          <w:bCs/>
          <w:sz w:val="32"/>
          <w:szCs w:val="32"/>
          <w:highlight w:val="white"/>
        </w:rPr>
      </w:pPr>
      <w:r>
        <w:rPr>
          <w:rFonts w:hint="eastAsia" w:asciiTheme="minorEastAsia" w:hAnsiTheme="minorEastAsia" w:eastAsiaTheme="minorEastAsia" w:cstheme="minorEastAsia"/>
          <w:b/>
          <w:bCs/>
          <w:sz w:val="32"/>
          <w:szCs w:val="32"/>
          <w:highlight w:val="white"/>
          <w:lang w:eastAsia="zh-CN"/>
        </w:rPr>
        <w:t>（</w:t>
      </w:r>
      <w:r>
        <w:rPr>
          <w:rFonts w:hint="eastAsia" w:asciiTheme="minorEastAsia" w:hAnsiTheme="minorEastAsia" w:eastAsiaTheme="minorEastAsia" w:cstheme="minorEastAsia"/>
          <w:b/>
          <w:bCs/>
          <w:sz w:val="32"/>
          <w:szCs w:val="32"/>
          <w:highlight w:val="white"/>
          <w:lang w:val="en-US" w:eastAsia="zh-CN"/>
        </w:rPr>
        <w:t>2</w:t>
      </w:r>
      <w:r>
        <w:rPr>
          <w:rFonts w:hint="eastAsia" w:asciiTheme="minorEastAsia" w:hAnsiTheme="minorEastAsia" w:eastAsiaTheme="minorEastAsia" w:cstheme="minorEastAsia"/>
          <w:b/>
          <w:bCs/>
          <w:sz w:val="32"/>
          <w:szCs w:val="32"/>
          <w:highlight w:val="white"/>
          <w:lang w:eastAsia="zh-CN"/>
        </w:rPr>
        <w:t>）</w:t>
      </w:r>
      <w:r>
        <w:rPr>
          <w:rFonts w:hint="eastAsia" w:asciiTheme="minorEastAsia" w:hAnsiTheme="minorEastAsia" w:eastAsiaTheme="minorEastAsia" w:cstheme="minorEastAsia"/>
          <w:b/>
          <w:bCs/>
          <w:sz w:val="32"/>
          <w:szCs w:val="32"/>
          <w:highlight w:val="white"/>
        </w:rPr>
        <w:t>部门决算中项目绩效自评结果。</w:t>
      </w:r>
    </w:p>
    <w:p>
      <w:pPr>
        <w:widowControl w:val="0"/>
        <w:numPr>
          <w:ilvl w:val="0"/>
          <w:numId w:val="0"/>
        </w:numPr>
        <w:spacing w:line="560" w:lineRule="exact"/>
        <w:ind w:firstLine="640" w:firstLineChars="200"/>
        <w:rPr>
          <w:rFonts w:hint="eastAsia"/>
        </w:rPr>
      </w:pPr>
      <w:r>
        <w:rPr>
          <w:rFonts w:hint="eastAsia" w:ascii="仿宋_GB2312" w:eastAsia="仿宋_GB2312"/>
          <w:sz w:val="32"/>
          <w:szCs w:val="32"/>
          <w:highlight w:val="white"/>
          <w:lang w:val="en-US" w:eastAsia="zh-CN"/>
        </w:rPr>
        <w:t>2021年度，我校没有项目纳入项目绩效自评范畴。</w:t>
      </w:r>
    </w:p>
    <w:p>
      <w:pPr>
        <w:widowControl w:val="0"/>
        <w:numPr>
          <w:ilvl w:val="0"/>
          <w:numId w:val="0"/>
        </w:numPr>
        <w:spacing w:line="560" w:lineRule="exact"/>
        <w:ind w:firstLine="321" w:firstLineChars="100"/>
        <w:rPr>
          <w:rFonts w:hint="eastAsia" w:asciiTheme="minorEastAsia" w:hAnsiTheme="minorEastAsia" w:eastAsiaTheme="minorEastAsia" w:cstheme="minorEastAsia"/>
          <w:b/>
          <w:bCs/>
          <w:sz w:val="32"/>
          <w:szCs w:val="32"/>
          <w:highlight w:val="white"/>
        </w:rPr>
      </w:pPr>
      <w:r>
        <w:rPr>
          <w:rFonts w:hint="eastAsia" w:asciiTheme="minorEastAsia" w:hAnsiTheme="minorEastAsia" w:eastAsiaTheme="minorEastAsia" w:cstheme="minorEastAsia"/>
          <w:b/>
          <w:bCs/>
          <w:sz w:val="32"/>
          <w:szCs w:val="32"/>
          <w:highlight w:val="white"/>
          <w:lang w:eastAsia="zh-CN"/>
        </w:rPr>
        <w:t>（</w:t>
      </w:r>
      <w:r>
        <w:rPr>
          <w:rFonts w:hint="eastAsia" w:asciiTheme="minorEastAsia" w:hAnsiTheme="minorEastAsia" w:eastAsiaTheme="minorEastAsia" w:cstheme="minorEastAsia"/>
          <w:b/>
          <w:bCs/>
          <w:sz w:val="32"/>
          <w:szCs w:val="32"/>
          <w:highlight w:val="white"/>
          <w:lang w:val="en-US" w:eastAsia="zh-CN"/>
        </w:rPr>
        <w:t>3</w:t>
      </w:r>
      <w:r>
        <w:rPr>
          <w:rFonts w:hint="eastAsia" w:asciiTheme="minorEastAsia" w:hAnsiTheme="minorEastAsia" w:eastAsiaTheme="minorEastAsia" w:cstheme="minorEastAsia"/>
          <w:b/>
          <w:bCs/>
          <w:sz w:val="32"/>
          <w:szCs w:val="32"/>
          <w:highlight w:val="white"/>
          <w:lang w:eastAsia="zh-CN"/>
        </w:rPr>
        <w:t>）</w:t>
      </w:r>
      <w:r>
        <w:rPr>
          <w:rFonts w:hint="eastAsia" w:asciiTheme="minorEastAsia" w:hAnsiTheme="minorEastAsia" w:eastAsiaTheme="minorEastAsia" w:cstheme="minorEastAsia"/>
          <w:b/>
          <w:bCs/>
          <w:sz w:val="32"/>
          <w:szCs w:val="32"/>
          <w:highlight w:val="white"/>
        </w:rPr>
        <w:t>部门评价项目绩效评价结果。</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pStyle w:val="7"/>
        <w:jc w:val="center"/>
        <w:rPr>
          <w:sz w:val="72"/>
          <w:szCs w:val="72"/>
        </w:rPr>
      </w:pPr>
    </w:p>
    <w:p>
      <w:pPr>
        <w:pStyle w:val="7"/>
        <w:ind w:firstLine="3600" w:firstLineChars="500"/>
        <w:jc w:val="both"/>
        <w:rPr>
          <w:rFonts w:hint="eastAsia"/>
          <w:sz w:val="72"/>
          <w:szCs w:val="72"/>
        </w:rPr>
      </w:pPr>
    </w:p>
    <w:p>
      <w:pPr>
        <w:pStyle w:val="7"/>
        <w:jc w:val="left"/>
        <w:rPr>
          <w:sz w:val="32"/>
          <w:szCs w:val="32"/>
        </w:rPr>
      </w:pPr>
      <w:r>
        <w:rPr>
          <w:rFonts w:hint="eastAsia"/>
          <w:sz w:val="32"/>
          <w:szCs w:val="32"/>
        </w:rPr>
        <w:t>第四部分</w:t>
      </w:r>
    </w:p>
    <w:p>
      <w:pPr>
        <w:jc w:val="center"/>
        <w:rPr>
          <w:rFonts w:ascii="黑体" w:eastAsia="黑体" w:cs="黑体"/>
          <w:color w:val="000000"/>
          <w:kern w:val="0"/>
          <w:sz w:val="44"/>
          <w:szCs w:val="44"/>
        </w:rPr>
      </w:pPr>
      <w:r>
        <w:rPr>
          <w:rFonts w:hint="eastAsia" w:ascii="黑体" w:eastAsia="黑体" w:cs="黑体"/>
          <w:color w:val="000000"/>
          <w:kern w:val="0"/>
          <w:sz w:val="44"/>
          <w:szCs w:val="44"/>
        </w:rPr>
        <w:t>名词解释</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财政拨款收入：指本级财政当年拨付的资金。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上年结转和结余：指以前年度尚未完成、结转到本年按有关规定继续使用的资金。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基本支出：指保障机构正常运转、完成支日常工作任务而发生的人员支出和公用支出。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项目支出：指在基本支出之外为完成特定行政任务和事业发展目标所发生的支出。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“三公”经费：指用财政拨款安排的因公出国（境）费、公务用车购置及运行费和公务接待费。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奖金：反映机关工作人员年终一次性奖金。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职业年金缴费：反映机关事业单位实际缴纳的职业年金支出。由单位代扣的工作人员职业年金缴费，不在此科目反映。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职工基本医疗保险缴费：反映单位为职工缴纳的基本医疗保险费。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住房公积金：反映行政事业单位按人力资源和社会保障部、财政部规定的基本工资和津贴补贴以及规定比例为职工缴纳的住房公积金。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商品和服务支出：反映单位购买商品和服务的支出（不包括用于购置固定资产的支出、战略性和应急储备支出）。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办公费：反映单位购买按财务会计制度规定不符合固定资产确认标准的日常办公用品、书报杂志等支出。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租赁费：反映租赁办公用房、宿舍、专用通讯网以及其他设备等方面的费用。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会议费：反映会议中按规定开支的住宿费、伙食费、会议室租金、交通费、文件印刷费、医药费等。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培训费：反映除因公出国（境）培训费以外的各类培训支出。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公务接待费：反映单位按规定开支的各类公务接待（含外宾接待）费用。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劳务费：反映支付给单位和个人的劳务费用，如临时聘用人员、钟点工工资，稿费、翻译费，评审费等。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委托业务费：反映因委托外单位办理业务而支付的委托业务费。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工会经费：反映单位按规定提取的工会经费。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福利费：反映单位按规定提取的福利费。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对个人和家庭的补助：反映政府用于对个人和家庭的补助支出。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离休费：反映行政事业单位和军队移交政府安置的离休人员的离休费、护理费和其他补贴。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退休费：反映行政事业单位和军队移交政府安置的退休人员的退休费和其他补贴。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奖励金：反映政府各部门的奖励支出，如对个体私营经济的奖励、计划生育目标责任奖励、独生子女父母奖励等。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办公设备购置：反映用于购置并按财务会计制度规定纳入固定资产核算范围的办公家具和办公设备的支出，以及按规定提取的修购基金。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7"/>
        <w:jc w:val="center"/>
        <w:rPr>
          <w:sz w:val="72"/>
          <w:szCs w:val="72"/>
        </w:rPr>
      </w:pPr>
    </w:p>
    <w:p>
      <w:pPr>
        <w:pStyle w:val="7"/>
        <w:jc w:val="center"/>
        <w:rPr>
          <w:sz w:val="72"/>
          <w:szCs w:val="72"/>
        </w:rPr>
      </w:pPr>
    </w:p>
    <w:p>
      <w:pPr>
        <w:rPr>
          <w:rFonts w:hint="eastAsia"/>
          <w:sz w:val="72"/>
          <w:szCs w:val="72"/>
        </w:rPr>
      </w:pPr>
      <w:r>
        <w:rPr>
          <w:rFonts w:hint="eastAsia"/>
          <w:sz w:val="72"/>
          <w:szCs w:val="72"/>
        </w:rPr>
        <w:br w:type="page"/>
      </w:r>
    </w:p>
    <w:p>
      <w:pPr>
        <w:pStyle w:val="7"/>
        <w:jc w:val="left"/>
        <w:rPr>
          <w:sz w:val="44"/>
          <w:szCs w:val="44"/>
        </w:rPr>
      </w:pPr>
      <w:r>
        <w:rPr>
          <w:rFonts w:hint="eastAsia"/>
          <w:sz w:val="44"/>
          <w:szCs w:val="44"/>
        </w:rPr>
        <w:t>第五部分</w:t>
      </w:r>
    </w:p>
    <w:p>
      <w:pPr>
        <w:jc w:val="center"/>
        <w:rPr>
          <w:rFonts w:ascii="黑体" w:eastAsia="黑体" w:cs="黑体"/>
          <w:color w:val="000000"/>
          <w:kern w:val="0"/>
          <w:sz w:val="44"/>
          <w:szCs w:val="44"/>
        </w:rPr>
      </w:pPr>
    </w:p>
    <w:p>
      <w:pPr>
        <w:jc w:val="center"/>
        <w:rPr>
          <w:rFonts w:ascii="黑体" w:eastAsia="黑体" w:cs="黑体"/>
          <w:color w:val="000000"/>
          <w:kern w:val="0"/>
          <w:sz w:val="44"/>
          <w:szCs w:val="44"/>
        </w:rPr>
      </w:pPr>
      <w:r>
        <w:rPr>
          <w:rFonts w:hint="eastAsia" w:ascii="黑体" w:eastAsia="黑体" w:cs="黑体"/>
          <w:color w:val="000000"/>
          <w:kern w:val="0"/>
          <w:sz w:val="44"/>
          <w:szCs w:val="44"/>
        </w:rPr>
        <w:t>附件</w:t>
      </w:r>
    </w:p>
    <w:p>
      <w:pPr>
        <w:widowControl/>
        <w:jc w:val="left"/>
        <w:rPr>
          <w:rFonts w:cs="黑体" w:asciiTheme="minorEastAsia" w:hAnsiTheme="minorEastAsia"/>
          <w:b/>
          <w:color w:val="000000"/>
          <w:kern w:val="0"/>
          <w:sz w:val="44"/>
          <w:szCs w:val="44"/>
        </w:rPr>
      </w:pPr>
      <w:r>
        <w:rPr>
          <w:rFonts w:ascii="黑体" w:eastAsia="黑体" w:cs="黑体"/>
          <w:color w:val="000000"/>
          <w:kern w:val="0"/>
          <w:sz w:val="70"/>
          <w:szCs w:val="70"/>
        </w:rPr>
        <w:br w:type="page"/>
      </w:r>
    </w:p>
    <w:p>
      <w:pPr>
        <w:spacing w:line="500" w:lineRule="exact"/>
        <w:jc w:val="center"/>
        <w:rPr>
          <w:rFonts w:hint="eastAsia" w:ascii="宋体" w:hAnsi="宋体" w:eastAsia="宋体" w:cs="宋体"/>
          <w:b/>
          <w:bCs/>
          <w:sz w:val="48"/>
          <w:szCs w:val="48"/>
        </w:rPr>
      </w:pPr>
    </w:p>
    <w:p>
      <w:pPr>
        <w:spacing w:line="500" w:lineRule="exact"/>
        <w:jc w:val="center"/>
        <w:rPr>
          <w:rFonts w:hint="eastAsia" w:ascii="宋体" w:hAnsi="宋体" w:eastAsia="宋体" w:cs="宋体"/>
          <w:b/>
          <w:bCs/>
          <w:sz w:val="48"/>
          <w:szCs w:val="48"/>
        </w:rPr>
      </w:pPr>
      <w:r>
        <w:rPr>
          <w:rFonts w:hint="eastAsia" w:ascii="宋体" w:hAnsi="宋体" w:eastAsia="宋体" w:cs="宋体"/>
          <w:b/>
          <w:bCs/>
          <w:sz w:val="48"/>
          <w:szCs w:val="48"/>
        </w:rPr>
        <w:t>益阳市卫生职业技术学校</w:t>
      </w:r>
    </w:p>
    <w:p>
      <w:pPr>
        <w:spacing w:line="500" w:lineRule="exact"/>
        <w:jc w:val="center"/>
        <w:rPr>
          <w:rFonts w:ascii="方正小标宋简体" w:eastAsia="方正小标宋简体" w:cs="方正小标宋_GBK"/>
          <w:sz w:val="36"/>
          <w:szCs w:val="36"/>
        </w:rPr>
      </w:pPr>
      <w:r>
        <w:rPr>
          <w:rFonts w:hint="eastAsia" w:ascii="宋体" w:hAnsi="宋体" w:eastAsia="宋体" w:cs="宋体"/>
          <w:b/>
          <w:bCs/>
          <w:sz w:val="48"/>
          <w:szCs w:val="48"/>
        </w:rPr>
        <w:t>2021年</w:t>
      </w:r>
      <w:r>
        <w:rPr>
          <w:rFonts w:hint="eastAsia" w:ascii="宋体" w:hAnsi="宋体" w:cs="宋体"/>
          <w:b/>
          <w:bCs/>
          <w:sz w:val="48"/>
          <w:szCs w:val="48"/>
          <w:lang w:eastAsia="zh-CN"/>
        </w:rPr>
        <w:t>度</w:t>
      </w:r>
      <w:r>
        <w:rPr>
          <w:rFonts w:hint="eastAsia" w:ascii="宋体" w:hAnsi="宋体" w:eastAsia="宋体" w:cs="宋体"/>
          <w:b/>
          <w:bCs/>
          <w:sz w:val="48"/>
          <w:szCs w:val="48"/>
        </w:rPr>
        <w:t>部门整体支出绩效评价报告</w:t>
      </w:r>
    </w:p>
    <w:p>
      <w:pPr>
        <w:spacing w:line="500" w:lineRule="exact"/>
        <w:jc w:val="center"/>
        <w:rPr>
          <w:rFonts w:ascii="方正小标宋简体" w:eastAsia="方正小标宋简体"/>
          <w:sz w:val="32"/>
          <w:szCs w:val="32"/>
        </w:rPr>
      </w:pP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lang w:eastAsia="zh-CN"/>
        </w:rPr>
        <w:t>一、</w:t>
      </w:r>
      <w:r>
        <w:rPr>
          <w:rFonts w:hint="eastAsia" w:ascii="Times New Roman" w:hAnsi="Times New Roman" w:eastAsia="黑体" w:cs="黑体"/>
          <w:sz w:val="32"/>
          <w:szCs w:val="32"/>
        </w:rPr>
        <w:t>单位基本情况</w:t>
      </w:r>
    </w:p>
    <w:p>
      <w:pPr>
        <w:keepNext w:val="0"/>
        <w:keepLines w:val="0"/>
        <w:pageBreakBefore w:val="0"/>
        <w:kinsoku/>
        <w:wordWrap/>
        <w:overflowPunct/>
        <w:topLinePunct w:val="0"/>
        <w:autoSpaceDE/>
        <w:autoSpaceDN/>
        <w:bidi w:val="0"/>
        <w:adjustRightInd/>
        <w:snapToGrid/>
        <w:spacing w:line="560" w:lineRule="exact"/>
        <w:ind w:firstLine="320" w:firstLineChars="1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主要职能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为全面认真贯彻国家、省、市关于卫生职业教育改革与发展的战略决策，使我校卫生职业教育更好地为人民健康服务，为湘北地区的医疗卫生事业服务，促进社会主义物质文明、政治文明和精神文明建设，坚持依法治校，保证学校持续、稳定、健康发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办学宗旨：以习近平新时代中国特色社会主义思想为指导，深入贯彻党的十九大和十九届二中、三中、四中、五中、六中全会精神，坚持党的领导，坚持正确办学方向，坚持立德树人，优化类型定位，深入推进育人方式、办学模式、管理体制、保障机制改革，切实增强职业教育适应性，加快构建现代职业教育体系，建设技能型社会，弘扬工匠精神，培养更多高素质技术技能人才、能工巧匠、大国工匠，为全面建设社会主义现代化国家提供有力人才和技能支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学校精神--修医德、精技能、济世致远；校风--团结协作、敬业奉献、德才兼备、争创一流；教风——热爱医教、治学严谨、关爱学生、为人师表；学风--热爱专业、勤奋好学、崇尚医德、苦练技能；办学理念--育人为本、厚德强能、质量立校、争创一流；校训</w:t>
      </w:r>
      <w:r>
        <w:rPr>
          <w:rFonts w:ascii="仿宋" w:hAnsi="仿宋" w:eastAsia="仿宋"/>
          <w:color w:val="000000"/>
          <w:sz w:val="32"/>
          <w:szCs w:val="32"/>
        </w:rPr>
        <w:t>—</w:t>
      </w:r>
      <w:r>
        <w:rPr>
          <w:rFonts w:hint="eastAsia" w:ascii="仿宋" w:hAnsi="仿宋" w:eastAsia="仿宋"/>
          <w:color w:val="000000"/>
          <w:sz w:val="32"/>
          <w:szCs w:val="32"/>
          <w:lang w:eastAsia="zh-CN"/>
        </w:rPr>
        <w:t>崇德尚业、自信笃行</w:t>
      </w:r>
      <w:r>
        <w:rPr>
          <w:rFonts w:hint="eastAsia" w:ascii="仿宋" w:hAnsi="仿宋" w:eastAsia="仿宋"/>
          <w:color w:val="000000"/>
          <w:sz w:val="32"/>
          <w:szCs w:val="32"/>
        </w:rPr>
        <w:t>；校徽--寓意为医学知识海洋里奋进的青年。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 w:eastAsia="仿宋_GB2312"/>
          <w:color w:val="000000"/>
          <w:sz w:val="32"/>
          <w:szCs w:val="32"/>
        </w:rPr>
      </w:pPr>
      <w:r>
        <w:rPr>
          <w:rFonts w:hint="eastAsia" w:ascii="仿宋" w:hAnsi="仿宋" w:eastAsia="仿宋"/>
          <w:color w:val="000000"/>
          <w:sz w:val="32"/>
          <w:szCs w:val="32"/>
        </w:rPr>
        <w:t>学校实行校长负责、校党委保证监督和教职工民主管理三位一体的管理体制。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ascii="仿宋_GB2312" w:hAnsi="仿宋" w:eastAsia="仿宋_GB2312"/>
          <w:color w:val="000000"/>
          <w:sz w:val="32"/>
          <w:szCs w:val="32"/>
        </w:rPr>
      </w:pPr>
      <w:r>
        <w:rPr>
          <w:rFonts w:hint="eastAsia" w:ascii="仿宋_GB2312" w:hAnsi="仿宋" w:eastAsia="仿宋_GB2312"/>
          <w:color w:val="000000"/>
          <w:sz w:val="32"/>
          <w:szCs w:val="32"/>
          <w:lang w:eastAsia="zh-CN"/>
        </w:rPr>
        <w:t>（二）</w:t>
      </w:r>
      <w:r>
        <w:rPr>
          <w:rFonts w:hint="eastAsia" w:ascii="仿宋_GB2312" w:hAnsi="仿宋" w:eastAsia="仿宋_GB2312"/>
          <w:color w:val="000000"/>
          <w:sz w:val="32"/>
          <w:szCs w:val="32"/>
        </w:rPr>
        <w:t>机构情况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学校设办公室、招生与就业科、教务科、学保科、继续教育科、财务科、后勤服务科、思想政治教育科、纪检监督室等职能部门。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办公室负责学校行政事务、工作督查督办、组织会议、信息处理、制度汇编、机要保密、内外沟通与协调、组织重要活动、人事管理以及学校党建日常工作。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教务科负责学校教学管理、教师队伍建设、实验室建设。学保科负责学生日常管理工作、德育教育、心理健康教育及综治安全与维稳工作。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财务科负责学校总体财务运转、各类收费以及学生支助工作。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招生与就业科负责中职、五年制大专和成教招生工作、学生学籍注册、学生实习、就业。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继续教育科负责各类短期培训，成人学历教育衔接等工作。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后勤服务科负责学校后勤保障工作及其他工作。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思想政治教育科负责学校党建、意识形态、团委等工作。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纪检监察室负责学校的廉政建设和各项事务的监督监管。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学校实行分工负责、分级管理，各行政部门工作对校长负责。职能部门设正职（主任/科长）1人，副职（副主任/副科长）视需要设置岗位。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（三）</w:t>
      </w:r>
      <w:r>
        <w:rPr>
          <w:rFonts w:hint="eastAsia" w:ascii="仿宋_GB2312" w:hAnsi="仿宋_GB2312" w:eastAsia="仿宋_GB2312" w:cs="仿宋_GB2312"/>
          <w:bCs/>
          <w:color w:val="000000"/>
          <w:sz w:val="32"/>
          <w:szCs w:val="32"/>
        </w:rPr>
        <w:t>人员情况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楷体_GB2312" w:hAnsi="仿宋" w:eastAsia="仿宋_GB2312"/>
          <w:b/>
          <w:color w:val="000000" w:themeColor="text1"/>
          <w:sz w:val="32"/>
          <w:szCs w:val="32"/>
          <w14:textFill>
            <w14:solidFill>
              <w14:schemeClr w14:val="tx1"/>
            </w14:solidFill>
          </w14:textFill>
        </w:rPr>
      </w:pPr>
      <w:r>
        <w:rPr>
          <w:rFonts w:hint="eastAsia" w:ascii="仿宋_GB2312" w:hAnsi="仿宋" w:eastAsia="仿宋_GB2312"/>
          <w:bCs/>
          <w:color w:val="000000"/>
          <w:sz w:val="32"/>
          <w:szCs w:val="32"/>
          <w:lang w:eastAsia="zh-CN"/>
        </w:rPr>
        <w:t>截至</w:t>
      </w:r>
      <w:r>
        <w:rPr>
          <w:rFonts w:hint="eastAsia" w:ascii="仿宋_GB2312" w:hAnsi="仿宋" w:eastAsia="仿宋_GB2312"/>
          <w:bCs/>
          <w:color w:val="000000"/>
          <w:sz w:val="32"/>
          <w:szCs w:val="32"/>
        </w:rPr>
        <w:t>2021年12月</w:t>
      </w:r>
      <w:r>
        <w:rPr>
          <w:rFonts w:hint="eastAsia" w:ascii="仿宋_GB2312" w:hAnsi="仿宋" w:eastAsia="仿宋_GB2312"/>
          <w:bCs/>
          <w:color w:val="000000"/>
          <w:sz w:val="32"/>
          <w:szCs w:val="32"/>
          <w:lang w:eastAsia="zh-CN"/>
        </w:rPr>
        <w:t>底，</w:t>
      </w:r>
      <w:r>
        <w:rPr>
          <w:rFonts w:hint="eastAsia" w:ascii="仿宋_GB2312" w:hAnsi="仿宋" w:eastAsia="仿宋_GB2312"/>
          <w:bCs/>
          <w:color w:val="000000"/>
          <w:sz w:val="32"/>
          <w:szCs w:val="32"/>
        </w:rPr>
        <w:t>我单位在职实有人数166人；离退休人数159人。</w:t>
      </w:r>
      <w:r>
        <w:rPr>
          <w:rFonts w:hint="eastAsia" w:ascii="仿宋_GB2312" w:hAnsi="仿宋" w:eastAsia="仿宋_GB2312"/>
          <w:bCs/>
          <w:color w:val="000000" w:themeColor="text1"/>
          <w:sz w:val="32"/>
          <w:szCs w:val="32"/>
          <w14:textFill>
            <w14:solidFill>
              <w14:schemeClr w14:val="tx1"/>
            </w14:solidFill>
          </w14:textFill>
        </w:rPr>
        <w:t>当年调出</w:t>
      </w:r>
      <w:r>
        <w:rPr>
          <w:rFonts w:hint="eastAsia" w:ascii="仿宋_GB2312" w:hAnsi="仿宋" w:eastAsia="仿宋_GB2312"/>
          <w:bCs/>
          <w:color w:val="000000" w:themeColor="text1"/>
          <w:sz w:val="32"/>
          <w:szCs w:val="32"/>
          <w:lang w:val="en-US" w:eastAsia="zh-CN"/>
          <w14:textFill>
            <w14:solidFill>
              <w14:schemeClr w14:val="tx1"/>
            </w14:solidFill>
          </w14:textFill>
        </w:rPr>
        <w:t>3</w:t>
      </w:r>
      <w:r>
        <w:rPr>
          <w:rFonts w:hint="eastAsia" w:ascii="仿宋_GB2312" w:hAnsi="仿宋" w:eastAsia="仿宋_GB2312"/>
          <w:bCs/>
          <w:color w:val="000000" w:themeColor="text1"/>
          <w:sz w:val="32"/>
          <w:szCs w:val="32"/>
          <w14:textFill>
            <w14:solidFill>
              <w14:schemeClr w14:val="tx1"/>
            </w14:solidFill>
          </w14:textFill>
        </w:rPr>
        <w:t>人</w:t>
      </w:r>
      <w:r>
        <w:rPr>
          <w:rFonts w:hint="eastAsia" w:ascii="仿宋_GB2312" w:hAnsi="仿宋" w:eastAsia="仿宋_GB2312"/>
          <w:bCs/>
          <w:color w:val="000000" w:themeColor="text1"/>
          <w:sz w:val="32"/>
          <w:szCs w:val="32"/>
          <w:lang w:eastAsia="zh-CN"/>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调入</w:t>
      </w:r>
      <w:r>
        <w:rPr>
          <w:rFonts w:hint="eastAsia" w:ascii="仿宋_GB2312" w:hAnsi="仿宋" w:eastAsia="仿宋_GB2312"/>
          <w:bCs/>
          <w:color w:val="000000" w:themeColor="text1"/>
          <w:sz w:val="32"/>
          <w:szCs w:val="32"/>
          <w:lang w:val="en-US" w:eastAsia="zh-CN"/>
          <w14:textFill>
            <w14:solidFill>
              <w14:schemeClr w14:val="tx1"/>
            </w14:solidFill>
          </w14:textFill>
        </w:rPr>
        <w:t>9</w:t>
      </w:r>
      <w:r>
        <w:rPr>
          <w:rFonts w:hint="eastAsia" w:ascii="仿宋_GB2312" w:hAnsi="仿宋" w:eastAsia="仿宋_GB2312"/>
          <w:bCs/>
          <w:color w:val="000000" w:themeColor="text1"/>
          <w:sz w:val="32"/>
          <w:szCs w:val="32"/>
          <w14:textFill>
            <w14:solidFill>
              <w14:schemeClr w14:val="tx1"/>
            </w14:solidFill>
          </w14:textFill>
        </w:rPr>
        <w:t>人</w:t>
      </w:r>
      <w:r>
        <w:rPr>
          <w:rFonts w:hint="eastAsia" w:ascii="仿宋_GB2312" w:hAnsi="仿宋" w:eastAsia="仿宋_GB2312"/>
          <w:bCs/>
          <w:color w:val="000000" w:themeColor="text1"/>
          <w:sz w:val="32"/>
          <w:szCs w:val="32"/>
          <w:lang w:eastAsia="zh-CN"/>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公开招聘</w:t>
      </w:r>
      <w:r>
        <w:rPr>
          <w:rFonts w:hint="eastAsia" w:ascii="仿宋_GB2312" w:hAnsi="仿宋" w:eastAsia="仿宋_GB2312"/>
          <w:bCs/>
          <w:color w:val="000000" w:themeColor="text1"/>
          <w:sz w:val="32"/>
          <w:szCs w:val="32"/>
          <w:lang w:val="en-US" w:eastAsia="zh-CN"/>
          <w14:textFill>
            <w14:solidFill>
              <w14:schemeClr w14:val="tx1"/>
            </w14:solidFill>
          </w14:textFill>
        </w:rPr>
        <w:t>4</w:t>
      </w:r>
      <w:r>
        <w:rPr>
          <w:rFonts w:hint="eastAsia" w:ascii="仿宋_GB2312" w:hAnsi="仿宋" w:eastAsia="仿宋_GB2312"/>
          <w:bCs/>
          <w:color w:val="000000" w:themeColor="text1"/>
          <w:sz w:val="32"/>
          <w:szCs w:val="32"/>
          <w14:textFill>
            <w14:solidFill>
              <w14:schemeClr w14:val="tx1"/>
            </w14:solidFill>
          </w14:textFill>
        </w:rPr>
        <w:t>人</w:t>
      </w:r>
      <w:r>
        <w:rPr>
          <w:rFonts w:hint="eastAsia" w:ascii="仿宋_GB2312" w:hAnsi="仿宋" w:eastAsia="仿宋_GB2312"/>
          <w:bCs/>
          <w:color w:val="000000" w:themeColor="text1"/>
          <w:sz w:val="32"/>
          <w:szCs w:val="32"/>
          <w:lang w:eastAsia="zh-CN"/>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退休</w:t>
      </w:r>
      <w:r>
        <w:rPr>
          <w:rFonts w:hint="eastAsia" w:ascii="仿宋_GB2312" w:hAnsi="仿宋" w:eastAsia="仿宋_GB2312"/>
          <w:bCs/>
          <w:color w:val="000000" w:themeColor="text1"/>
          <w:sz w:val="32"/>
          <w:szCs w:val="32"/>
          <w:lang w:val="en-US" w:eastAsia="zh-CN"/>
          <w14:textFill>
            <w14:solidFill>
              <w14:schemeClr w14:val="tx1"/>
            </w14:solidFill>
          </w14:textFill>
        </w:rPr>
        <w:t>5</w:t>
      </w:r>
      <w:r>
        <w:rPr>
          <w:rFonts w:hint="eastAsia" w:ascii="仿宋_GB2312" w:hAnsi="仿宋" w:eastAsia="仿宋_GB2312"/>
          <w:bCs/>
          <w:color w:val="000000" w:themeColor="text1"/>
          <w:sz w:val="32"/>
          <w:szCs w:val="32"/>
          <w14:textFill>
            <w14:solidFill>
              <w14:schemeClr w14:val="tx1"/>
            </w14:solidFill>
          </w14:textFill>
        </w:rPr>
        <w:t>人。</w:t>
      </w: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lang w:eastAsia="zh-CN"/>
        </w:rPr>
        <w:t>二、</w:t>
      </w:r>
      <w:r>
        <w:rPr>
          <w:rFonts w:hint="eastAsia" w:ascii="Times New Roman" w:hAnsi="Times New Roman" w:eastAsia="黑体" w:cs="黑体"/>
          <w:sz w:val="32"/>
          <w:szCs w:val="32"/>
        </w:rPr>
        <w:t>一般公共预算支出情况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我单位</w:t>
      </w:r>
      <w:r>
        <w:rPr>
          <w:rFonts w:hint="eastAsia" w:ascii="仿宋" w:hAnsi="仿宋" w:eastAsia="仿宋" w:cs="仿宋"/>
          <w:sz w:val="32"/>
          <w:szCs w:val="32"/>
        </w:rPr>
        <w:t>2021年度一般公共预算总收入为2046.13万元，总支出为</w:t>
      </w:r>
      <w:r>
        <w:rPr>
          <w:rFonts w:ascii="仿宋" w:hAnsi="仿宋" w:eastAsia="仿宋" w:cs="仿宋"/>
          <w:sz w:val="32"/>
          <w:szCs w:val="32"/>
        </w:rPr>
        <w:t>2046.13</w:t>
      </w:r>
      <w:r>
        <w:rPr>
          <w:rFonts w:hint="eastAsia" w:ascii="仿宋" w:hAnsi="仿宋" w:eastAsia="仿宋" w:cs="仿宋"/>
          <w:sz w:val="32"/>
          <w:szCs w:val="32"/>
        </w:rPr>
        <w:t>万元，与上年一般公共预算支出的</w:t>
      </w:r>
      <w:r>
        <w:rPr>
          <w:rFonts w:ascii="仿宋" w:hAnsi="仿宋" w:eastAsia="仿宋" w:cs="仿宋"/>
          <w:sz w:val="32"/>
          <w:szCs w:val="32"/>
        </w:rPr>
        <w:t>4570.23</w:t>
      </w:r>
      <w:r>
        <w:rPr>
          <w:rFonts w:hint="eastAsia" w:ascii="仿宋" w:hAnsi="仿宋" w:eastAsia="仿宋" w:cs="仿宋"/>
          <w:sz w:val="32"/>
          <w:szCs w:val="32"/>
        </w:rPr>
        <w:t>万元减少</w:t>
      </w:r>
      <w:r>
        <w:rPr>
          <w:rFonts w:ascii="仿宋" w:hAnsi="仿宋" w:eastAsia="仿宋" w:cs="仿宋"/>
          <w:sz w:val="32"/>
          <w:szCs w:val="32"/>
        </w:rPr>
        <w:t>2524.10</w:t>
      </w:r>
      <w:r>
        <w:rPr>
          <w:rFonts w:hint="eastAsia" w:ascii="仿宋" w:hAnsi="仿宋" w:eastAsia="仿宋" w:cs="仿宋"/>
          <w:sz w:val="32"/>
          <w:szCs w:val="32"/>
        </w:rPr>
        <w:t>万元，下降55.23%。比年初预算的</w:t>
      </w:r>
      <w:r>
        <w:rPr>
          <w:rFonts w:ascii="仿宋" w:hAnsi="仿宋" w:eastAsia="仿宋" w:cs="仿宋"/>
          <w:sz w:val="32"/>
          <w:szCs w:val="32"/>
        </w:rPr>
        <w:t>1998.79</w:t>
      </w:r>
      <w:r>
        <w:rPr>
          <w:rFonts w:hint="eastAsia" w:ascii="仿宋" w:hAnsi="仿宋" w:eastAsia="仿宋" w:cs="仿宋"/>
          <w:sz w:val="32"/>
          <w:szCs w:val="32"/>
        </w:rPr>
        <w:t>万元增长2.37</w:t>
      </w:r>
      <w:r>
        <w:rPr>
          <w:rFonts w:ascii="仿宋" w:hAnsi="仿宋" w:eastAsia="仿宋" w:cs="仿宋"/>
          <w:sz w:val="32"/>
          <w:szCs w:val="32"/>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320" w:firstLineChars="100"/>
        <w:jc w:val="both"/>
        <w:textAlignment w:val="auto"/>
        <w:rPr>
          <w:rFonts w:ascii="仿宋" w:hAnsi="仿宋" w:eastAsia="仿宋" w:cs="仿宋"/>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基本支出情况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eastAsia="zh-CN"/>
        </w:rPr>
        <w:t>我单位</w:t>
      </w:r>
      <w:r>
        <w:rPr>
          <w:rFonts w:hint="eastAsia" w:ascii="仿宋" w:hAnsi="仿宋" w:eastAsia="仿宋" w:cs="仿宋"/>
          <w:sz w:val="32"/>
          <w:szCs w:val="32"/>
        </w:rPr>
        <w:t>2021年度一般公共预算支出中的基本支出为</w:t>
      </w:r>
      <w:r>
        <w:rPr>
          <w:rFonts w:ascii="仿宋" w:hAnsi="仿宋" w:eastAsia="仿宋" w:cs="仿宋"/>
          <w:sz w:val="32"/>
          <w:szCs w:val="32"/>
        </w:rPr>
        <w:t>2046.13</w:t>
      </w:r>
      <w:r>
        <w:rPr>
          <w:rFonts w:hint="eastAsia" w:ascii="仿宋" w:hAnsi="仿宋" w:eastAsia="仿宋" w:cs="仿宋"/>
          <w:sz w:val="32"/>
          <w:szCs w:val="32"/>
        </w:rPr>
        <w:t>万元，其中人员经费支出</w:t>
      </w:r>
      <w:r>
        <w:rPr>
          <w:rFonts w:ascii="仿宋" w:hAnsi="仿宋" w:eastAsia="仿宋" w:cs="仿宋"/>
          <w:sz w:val="32"/>
          <w:szCs w:val="32"/>
        </w:rPr>
        <w:t>1904.18</w:t>
      </w:r>
      <w:r>
        <w:rPr>
          <w:rFonts w:hint="eastAsia" w:ascii="仿宋" w:hAnsi="仿宋" w:eastAsia="仿宋" w:cs="仿宋"/>
          <w:sz w:val="32"/>
          <w:szCs w:val="32"/>
        </w:rPr>
        <w:t>万元，占基本支出的93.06%，公用经费</w:t>
      </w:r>
      <w:r>
        <w:rPr>
          <w:rFonts w:ascii="仿宋" w:hAnsi="仿宋" w:eastAsia="仿宋" w:cs="仿宋"/>
          <w:sz w:val="32"/>
          <w:szCs w:val="32"/>
        </w:rPr>
        <w:t>141.95</w:t>
      </w:r>
      <w:r>
        <w:rPr>
          <w:rFonts w:hint="eastAsia" w:ascii="仿宋" w:hAnsi="仿宋" w:eastAsia="仿宋" w:cs="仿宋"/>
          <w:sz w:val="32"/>
          <w:szCs w:val="32"/>
        </w:rPr>
        <w:t>万元，占基本支出的6.94%。与上年一般公共预算支出的</w:t>
      </w:r>
      <w:r>
        <w:rPr>
          <w:rFonts w:ascii="仿宋" w:hAnsi="仿宋" w:eastAsia="仿宋" w:cs="仿宋"/>
          <w:sz w:val="32"/>
          <w:szCs w:val="32"/>
        </w:rPr>
        <w:t>4570.23</w:t>
      </w:r>
      <w:r>
        <w:rPr>
          <w:rFonts w:hint="eastAsia" w:ascii="仿宋" w:hAnsi="仿宋" w:eastAsia="仿宋" w:cs="仿宋"/>
          <w:sz w:val="32"/>
          <w:szCs w:val="32"/>
        </w:rPr>
        <w:t>万元减少2524.10万元，下降55.23%。</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项目支出情况</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本单位无项目资金支出</w:t>
      </w:r>
      <w:r>
        <w:rPr>
          <w:rFonts w:hint="eastAsia" w:ascii="仿宋" w:hAnsi="仿宋" w:eastAsia="仿宋" w:cs="仿宋"/>
          <w:sz w:val="32"/>
          <w:szCs w:val="32"/>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lang w:eastAsia="zh-CN"/>
        </w:rPr>
        <w:t>三、</w:t>
      </w:r>
      <w:r>
        <w:rPr>
          <w:rFonts w:hint="eastAsia" w:ascii="Times New Roman" w:hAnsi="Times New Roman" w:eastAsia="黑体" w:cs="黑体"/>
          <w:sz w:val="32"/>
          <w:szCs w:val="32"/>
        </w:rPr>
        <w:t>政府性基金预算支出情况</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本单位无政府性基金预算支出</w:t>
      </w:r>
      <w:r>
        <w:rPr>
          <w:rFonts w:hint="eastAsia" w:ascii="仿宋" w:hAnsi="仿宋" w:eastAsia="仿宋" w:cs="仿宋"/>
          <w:sz w:val="32"/>
          <w:szCs w:val="32"/>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lang w:eastAsia="zh-CN"/>
        </w:rPr>
        <w:t>四、</w:t>
      </w:r>
      <w:r>
        <w:rPr>
          <w:rFonts w:hint="eastAsia" w:ascii="Times New Roman" w:hAnsi="Times New Roman" w:eastAsia="黑体" w:cs="黑体"/>
          <w:sz w:val="32"/>
          <w:szCs w:val="32"/>
        </w:rPr>
        <w:t>国有资本经营预算支出情况</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本单位无国有资本经营预算支出</w:t>
      </w:r>
      <w:r>
        <w:rPr>
          <w:rFonts w:hint="eastAsia" w:ascii="仿宋" w:hAnsi="仿宋" w:eastAsia="仿宋" w:cs="仿宋"/>
          <w:sz w:val="32"/>
          <w:szCs w:val="32"/>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lang w:eastAsia="zh-CN"/>
        </w:rPr>
        <w:t>五、</w:t>
      </w:r>
      <w:r>
        <w:rPr>
          <w:rFonts w:hint="eastAsia" w:ascii="Times New Roman" w:hAnsi="Times New Roman" w:eastAsia="黑体" w:cs="黑体"/>
          <w:sz w:val="32"/>
          <w:szCs w:val="32"/>
        </w:rPr>
        <w:t>社会保险基金预算支出情况</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本单位无社会保险基金预算支出</w:t>
      </w:r>
      <w:r>
        <w:rPr>
          <w:rFonts w:hint="eastAsia" w:ascii="仿宋" w:hAnsi="仿宋" w:eastAsia="仿宋" w:cs="仿宋"/>
          <w:sz w:val="32"/>
          <w:szCs w:val="32"/>
          <w:lang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eastAsia="黑体" w:cs="黑体"/>
          <w:sz w:val="32"/>
          <w:szCs w:val="32"/>
        </w:rPr>
      </w:pPr>
      <w:r>
        <w:rPr>
          <w:rFonts w:hint="eastAsia" w:eastAsia="黑体" w:cs="黑体"/>
          <w:sz w:val="32"/>
          <w:szCs w:val="32"/>
          <w:lang w:eastAsia="zh-CN"/>
        </w:rPr>
        <w:t>六、</w:t>
      </w:r>
      <w:r>
        <w:rPr>
          <w:rFonts w:hint="eastAsia" w:eastAsia="黑体" w:cs="黑体"/>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s="仿宋_GB2312"/>
          <w:color w:val="000000"/>
          <w:sz w:val="32"/>
          <w:szCs w:val="32"/>
        </w:rPr>
      </w:pPr>
      <w:r>
        <w:rPr>
          <w:rFonts w:hint="eastAsia" w:eastAsia="仿宋_GB2312" w:cs="仿宋_GB2312"/>
          <w:color w:val="000000"/>
          <w:sz w:val="32"/>
          <w:szCs w:val="32"/>
        </w:rPr>
        <w:t>（一）以党建促引领凝聚合力，强化意识形态阵地建设</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cs="仿宋_GB2312"/>
          <w:color w:val="000000"/>
          <w:sz w:val="32"/>
          <w:szCs w:val="32"/>
        </w:rPr>
      </w:pPr>
      <w:r>
        <w:rPr>
          <w:rFonts w:hint="eastAsia" w:eastAsia="仿宋_GB2312" w:cs="仿宋_GB2312"/>
          <w:color w:val="000000"/>
          <w:sz w:val="32"/>
          <w:szCs w:val="32"/>
        </w:rPr>
        <w:t>今年来，共开展党史学习教育专题学习、理论中心组学习12次；推动“青年大学习”常态化、制度化，年内在全校开展“青年大学习”网上主题团课学习2季19期，平均学习率达到100%，完成率长期居全区榜首；学习强国参与学习率100%，学习日平均分在全区排名靠前；开展“筑梦青春迎百年 砥砺奋进犇新程”庆祝建党100周年大型文艺晚会，优秀共产党员、优秀党委工作者评选，“小卫讲党课”微党课比赛，党史知识竞赛，“光荣在党50年”纪念章颁发仪式，芷江受降纪念馆和蔡和森纪念馆“重温峥嵘岁月、传承红色精神党史学习教育等各类活动，弘扬党的优良传统，歌颂党的光辉历程，坚定师生理想信念；坚持党建带团建，创新思路为学校的教育教学营造良好育人环境。</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s="仿宋_GB2312"/>
          <w:color w:val="000000"/>
          <w:sz w:val="32"/>
          <w:szCs w:val="32"/>
        </w:rPr>
      </w:pPr>
      <w:r>
        <w:rPr>
          <w:rFonts w:hint="eastAsia" w:eastAsia="仿宋_GB2312" w:cs="仿宋_GB2312"/>
          <w:color w:val="000000"/>
          <w:sz w:val="32"/>
          <w:szCs w:val="32"/>
        </w:rPr>
        <w:t>（二）狠抓学校常规管理，促进学生全面发展</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cs="仿宋_GB2312"/>
          <w:color w:val="000000"/>
          <w:sz w:val="32"/>
          <w:szCs w:val="32"/>
        </w:rPr>
      </w:pPr>
      <w:r>
        <w:rPr>
          <w:rFonts w:hint="eastAsia" w:eastAsia="仿宋_GB2312" w:cs="仿宋_GB2312"/>
          <w:color w:val="000000"/>
          <w:sz w:val="32"/>
          <w:szCs w:val="32"/>
        </w:rPr>
        <w:t>一是对照学校“总课表”、班级“课程表”、教师“个人小课表”进行巡查，发现问题题及时记录与当面指正，有效地保障我校能够严格按照课程设置实施方案要求，开齐学科门类并上足学科课程；二是继续以备课、作业为着力点，完善课前准备、课中教学、作业与辅导三环节的实施与管理；有计划的对学生进行“学习规范”等常规教育，指导学生做好课前预习、上课、及时复习等事情。三是出台晨读与午练规定，并进行专项检查，及时公布检查结果，及时与班级老师进行沟通交流；四是建立健全学校护校队日常管理工作，定期对寝室管制刀具和违禁品搜查，在上好“安全开学第一课”的同时，通过形式多样的安全主题教育如主题班会、手抄报、防溺水应急演习、防艾知识进校园等活动使安全意识深入人心。</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s="仿宋_GB2312"/>
          <w:color w:val="000000"/>
          <w:sz w:val="32"/>
          <w:szCs w:val="32"/>
        </w:rPr>
      </w:pPr>
      <w:r>
        <w:rPr>
          <w:rFonts w:hint="eastAsia" w:eastAsia="仿宋_GB2312" w:cs="仿宋_GB2312"/>
          <w:color w:val="000000"/>
          <w:sz w:val="32"/>
          <w:szCs w:val="32"/>
        </w:rPr>
        <w:t>（三）狠抓教研教改，教育教学质量进一步提高</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cs="仿宋_GB2312"/>
          <w:color w:val="000000"/>
          <w:sz w:val="32"/>
          <w:szCs w:val="32"/>
        </w:rPr>
      </w:pPr>
      <w:r>
        <w:rPr>
          <w:rFonts w:hint="eastAsia" w:eastAsia="仿宋_GB2312" w:cs="仿宋_GB2312"/>
          <w:color w:val="000000"/>
          <w:sz w:val="32"/>
          <w:szCs w:val="32"/>
        </w:rPr>
        <w:t>一是抓队伍建设。2021年春季学期开学以来，从专业建设需要、学科教学需求、学科发展平衡等多方面考虑，对各教研组进行重组重构，并在优秀教师团队中挖掘新鲜力量，选拔了一批新的教研组长、副组长以加强专业特色建设；二是抓教学管理。今年5月，我校正式开始实行新的教研组管理制度，强化了教研组工作职责，明确了教师工作要求，优化了教师考核方式，基本形成了以教研组为基本管理单位，各专业多学科合力支持教研教改工作的新格局；三是抓专业建设。一方面，我校派出专业骨干教师参与省级、国家级培训，走出去学习新理念，引进专业建设的新标准、新方法，另一方面，我们鼓励各组教师参加各类专业教学竞赛，以赛促学、以赛促建，以比赛激活教师创新潜能，挖掘专业创新元素。同时，我校全面规划、整体协调，以中医护理、中药、中医康复技术三个专业教研组为主，开展各专业调研活动，为修订标准化、特色化的专业人才培养方案迈出了坚实的第一步。</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s="仿宋_GB2312"/>
          <w:color w:val="000000"/>
          <w:sz w:val="32"/>
          <w:szCs w:val="32"/>
        </w:rPr>
      </w:pPr>
      <w:r>
        <w:rPr>
          <w:rFonts w:hint="eastAsia" w:eastAsia="仿宋_GB2312" w:cs="仿宋_GB2312"/>
          <w:color w:val="000000"/>
          <w:sz w:val="32"/>
          <w:szCs w:val="32"/>
        </w:rPr>
        <w:t>（四）狠抓招生就业工作，把好人才培养“进出口”关</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cs="仿宋_GB2312"/>
          <w:color w:val="000000"/>
          <w:sz w:val="32"/>
          <w:szCs w:val="32"/>
        </w:rPr>
      </w:pPr>
      <w:r>
        <w:rPr>
          <w:rFonts w:hint="eastAsia" w:eastAsia="仿宋_GB2312" w:cs="仿宋_GB2312"/>
          <w:color w:val="000000"/>
          <w:sz w:val="32"/>
          <w:szCs w:val="32"/>
        </w:rPr>
        <w:t>一是打通入口关。完成全省10个市州的招生备案，对益阳、长沙、常德、娄底等4个市州13个区县70余个乡镇进行了实地招生宣传，今年我校计划招生1200人，实际招生1374人；二是理顺出口关。从4月份开始，我校共计安排学生590人到26家综合性医院、大型连锁药店、养生馆等地开展临床实习（顶岗学习），同时跟踪实习情况，确保实习效果，分别于9月、12月对学生实习情况进行检查回访；加大校企合作力度，在巩固现有合作单位基础上，力求开辟新的学生实习就业基地，截止12月，新签合作协议4家，现共有校企合作单位30家。</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s="仿宋_GB2312"/>
          <w:color w:val="000000"/>
          <w:sz w:val="32"/>
          <w:szCs w:val="32"/>
        </w:rPr>
      </w:pPr>
      <w:r>
        <w:rPr>
          <w:rFonts w:hint="eastAsia" w:eastAsia="仿宋_GB2312" w:cs="仿宋_GB2312"/>
          <w:color w:val="000000"/>
          <w:sz w:val="32"/>
          <w:szCs w:val="32"/>
        </w:rPr>
        <w:t>（五）落实“一岗双责”，推进主体责任全面落实</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cs="仿宋_GB2312"/>
          <w:color w:val="000000"/>
          <w:sz w:val="32"/>
          <w:szCs w:val="32"/>
        </w:rPr>
      </w:pPr>
      <w:r>
        <w:rPr>
          <w:rFonts w:hint="eastAsia" w:eastAsia="仿宋_GB2312" w:cs="仿宋_GB2312"/>
          <w:color w:val="000000"/>
          <w:sz w:val="32"/>
          <w:szCs w:val="32"/>
        </w:rPr>
        <w:t>一是牢记职责。校党委始终把党风廉政建设纳入学校工作的重要议事日程，时刻牢记“一岗双责”的重要职责，全年进行日常廉政谈话20次，政务警告1人，通报批评1人，提醒谈话3人，签订师德师风承诺书205份；二是加强学习。组织广大干职工认真学习政治理论和廉政法规，筑牢拒腐防变的思想防线。实行“一把手”不分管财务和重大工程项目建设。严肃人事任免纪律，对于干部提拔，严格按照组织程序进行。</w:t>
      </w: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黑体"/>
          <w:color w:val="000000" w:themeColor="text1"/>
          <w:sz w:val="32"/>
          <w:szCs w:val="32"/>
          <w:lang w:eastAsia="zh-CN"/>
          <w14:textFill>
            <w14:solidFill>
              <w14:schemeClr w14:val="tx1"/>
            </w14:solidFill>
          </w14:textFill>
        </w:rPr>
        <w:t>七、</w:t>
      </w:r>
      <w:r>
        <w:rPr>
          <w:rFonts w:hint="eastAsia" w:ascii="Times New Roman" w:hAnsi="Times New Roman" w:eastAsia="黑体" w:cs="黑体"/>
          <w:color w:val="000000" w:themeColor="text1"/>
          <w:sz w:val="32"/>
          <w:szCs w:val="32"/>
          <w14:textFill>
            <w14:solidFill>
              <w14:schemeClr w14:val="tx1"/>
            </w14:solidFill>
          </w14:textFill>
        </w:rPr>
        <w:t>存在的问题及原因分析</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320" w:firstLineChars="100"/>
        <w:jc w:val="both"/>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一）逐步完善、规范会计集中核算和国库集中支付工作流程，严格执行先审后核再支付的工作步骤，严格执行内部操作规程，科室人员专职传岗，各司其职，分工协作，责权清晰，确保会计核算和国库集中支付的平稳运行。</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320" w:firstLineChars="100"/>
        <w:jc w:val="both"/>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（二）加强银行账户管理。需加强会计出纳与银行、单位的账务核对，按时核对结果，自觉接受财政内部监督。</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320" w:firstLineChars="100"/>
        <w:jc w:val="both"/>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（三）固定资产管理有待进一步规范，学校有些房屋建筑物尚未办理房屋产权证。</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320" w:firstLineChars="100"/>
        <w:jc w:val="both"/>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（四</w:t>
      </w:r>
      <w:r>
        <w:rPr>
          <w:rFonts w:ascii="Times New Roman" w:hAnsi="Times New Roman" w:eastAsia="仿宋_GB2312" w:cs="仿宋_GB2312"/>
          <w:color w:val="000000" w:themeColor="text1"/>
          <w:sz w:val="32"/>
          <w:szCs w:val="32"/>
          <w14:textFill>
            <w14:solidFill>
              <w14:schemeClr w14:val="tx1"/>
            </w14:solidFill>
          </w14:textFill>
        </w:rPr>
        <w:t>）基本支出预算中公用经费预算较低，导致单位日常运行经费支出</w:t>
      </w:r>
      <w:r>
        <w:rPr>
          <w:rFonts w:hint="eastAsia" w:ascii="Times New Roman" w:hAnsi="Times New Roman" w:eastAsia="仿宋_GB2312" w:cs="仿宋_GB2312"/>
          <w:color w:val="000000" w:themeColor="text1"/>
          <w:sz w:val="32"/>
          <w:szCs w:val="32"/>
          <w14:textFill>
            <w14:solidFill>
              <w14:schemeClr w14:val="tx1"/>
            </w14:solidFill>
          </w14:textFill>
        </w:rPr>
        <w:t>比较紧张</w:t>
      </w:r>
      <w:r>
        <w:rPr>
          <w:rFonts w:ascii="Times New Roman" w:hAnsi="Times New Roman" w:eastAsia="仿宋_GB2312" w:cs="仿宋_GB2312"/>
          <w:color w:val="000000" w:themeColor="text1"/>
          <w:sz w:val="32"/>
          <w:szCs w:val="32"/>
          <w14:textFill>
            <w14:solidFill>
              <w14:schemeClr w14:val="tx1"/>
            </w14:solidFill>
          </w14:textFill>
        </w:rPr>
        <w:t>。</w:t>
      </w:r>
    </w:p>
    <w:p>
      <w:pPr>
        <w:pStyle w:val="8"/>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eastAsia="黑体" w:cs="黑体"/>
          <w:sz w:val="32"/>
          <w:szCs w:val="32"/>
        </w:rPr>
      </w:pPr>
      <w:r>
        <w:rPr>
          <w:rFonts w:hint="eastAsia" w:eastAsia="黑体" w:cs="黑体"/>
          <w:sz w:val="32"/>
          <w:szCs w:val="32"/>
          <w:lang w:eastAsia="zh-CN"/>
        </w:rPr>
        <w:t>八、</w:t>
      </w:r>
      <w:r>
        <w:rPr>
          <w:rFonts w:hint="eastAsia" w:eastAsia="黑体" w:cs="黑体"/>
          <w:sz w:val="32"/>
          <w:szCs w:val="32"/>
        </w:rPr>
        <w:t>下一步改进措施</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olor w:val="000000"/>
          <w:sz w:val="32"/>
          <w:szCs w:val="32"/>
        </w:rPr>
      </w:pPr>
      <w:r>
        <w:rPr>
          <w:rFonts w:hint="eastAsia" w:eastAsia="仿宋_GB2312"/>
          <w:color w:val="000000"/>
          <w:sz w:val="32"/>
          <w:szCs w:val="32"/>
        </w:rPr>
        <w:t>（一）细化预算编制工作，认真做好预算的编制。加强单位内部机构各科室的预算管理意识，按照预算编制的相关制度和要求进行预算编制;全面编制预算，优先保障固定性的、相对刚性的费用支出，尽量压缩变动性的、有控制空间的费用，提高预算编制的科学性、严谨性和可控性。</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olor w:val="000000"/>
          <w:sz w:val="32"/>
          <w:szCs w:val="32"/>
        </w:rPr>
      </w:pPr>
      <w:r>
        <w:rPr>
          <w:rFonts w:hint="eastAsia" w:eastAsia="仿宋_GB2312"/>
          <w:color w:val="000000"/>
          <w:sz w:val="32"/>
          <w:szCs w:val="32"/>
        </w:rPr>
        <w:t>（二）加强预算管理，严格财务审核，提高财务的精细化管理水平。在费用报账支付时，按照预算规定的费用和用途进行资金使用的审核，在预算金额内严格控制费用的支出，控制超支现象的发生，严格按照实际的费用支出内容进行财务核算，确保财务核算的真实、及时、准确、完整。</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both"/>
        <w:textAlignment w:val="auto"/>
        <w:rPr>
          <w:rFonts w:eastAsia="仿宋_GB2312"/>
          <w:color w:val="000000"/>
          <w:sz w:val="32"/>
          <w:szCs w:val="32"/>
        </w:rPr>
      </w:pPr>
      <w:r>
        <w:rPr>
          <w:rFonts w:hint="eastAsia" w:eastAsia="仿宋_GB2312"/>
          <w:color w:val="000000"/>
          <w:sz w:val="32"/>
          <w:szCs w:val="32"/>
        </w:rPr>
        <w:t>（三）加强绩效管理，将绩效理念贯穿于预算编制与执行的全过程。将绩效评价工作深入到各个基本环节中，对每个部门制定相应的绩效指标，合理地对财政支出进行管理。</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eastAsia="黑体"/>
          <w:sz w:val="32"/>
          <w:szCs w:val="32"/>
        </w:rPr>
      </w:pPr>
      <w:r>
        <w:rPr>
          <w:rFonts w:hint="eastAsia" w:eastAsia="黑体" w:cs="黑体"/>
          <w:sz w:val="32"/>
          <w:szCs w:val="32"/>
        </w:rPr>
        <w:t>九、其他需要说明的情况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spacing w:before="156" w:beforeLines="50" w:after="156" w:afterLines="50"/>
        <w:jc w:val="center"/>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益阳市职业技术学校</w:t>
      </w:r>
    </w:p>
    <w:p>
      <w:pPr>
        <w:spacing w:before="156" w:beforeLines="50" w:after="156" w:afterLines="5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2022年5月29日</w:t>
      </w:r>
    </w:p>
    <w:p>
      <w:pPr>
        <w:spacing w:before="156" w:beforeLines="50" w:after="156" w:afterLines="50"/>
        <w:jc w:val="center"/>
        <w:rPr>
          <w:rFonts w:hint="eastAsia" w:ascii="方正小标宋简体" w:eastAsia="方正小标宋简体" w:cs="方正小标宋_GBK"/>
          <w:sz w:val="36"/>
          <w:szCs w:val="36"/>
        </w:rPr>
      </w:pPr>
    </w:p>
    <w:p>
      <w:pPr>
        <w:spacing w:before="156" w:beforeLines="50" w:after="156" w:afterLines="50"/>
        <w:jc w:val="center"/>
        <w:rPr>
          <w:rFonts w:hint="eastAsia" w:ascii="方正小标宋简体" w:eastAsia="方正小标宋简体" w:cs="方正小标宋_GBK"/>
          <w:sz w:val="36"/>
          <w:szCs w:val="36"/>
        </w:rPr>
      </w:pPr>
    </w:p>
    <w:p>
      <w:pPr>
        <w:spacing w:before="156" w:beforeLines="50" w:after="156" w:afterLines="50"/>
        <w:jc w:val="center"/>
        <w:rPr>
          <w:rFonts w:hint="eastAsia" w:ascii="方正小标宋简体" w:eastAsia="方正小标宋简体" w:cs="方正小标宋_GBK"/>
          <w:sz w:val="36"/>
          <w:szCs w:val="36"/>
        </w:rPr>
      </w:pPr>
    </w:p>
    <w:p>
      <w:pPr>
        <w:spacing w:before="156" w:beforeLines="50" w:after="156"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2021年度部门整体支出绩效自评指标计分表</w:t>
      </w:r>
    </w:p>
    <w:tbl>
      <w:tblPr>
        <w:tblStyle w:val="5"/>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hint="eastAsia" w:ascii="宋体" w:hAnsi="宋体" w:cs="宋体" w:eastAsiaTheme="minorEastAsia"/>
                <w:b/>
                <w:bCs/>
                <w:lang w:eastAsia="zh-CN"/>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①资产保存是否完整；</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②资产配置是否合理；</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③资产处置是否规范；</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98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ACCFA5"/>
    <w:multiLevelType w:val="singleLevel"/>
    <w:tmpl w:val="47ACCFA5"/>
    <w:lvl w:ilvl="0" w:tentative="0">
      <w:start w:val="1"/>
      <w:numFmt w:val="decimal"/>
      <w:suff w:val="nothing"/>
      <w:lvlText w:val="%1、"/>
      <w:lvlJc w:val="left"/>
    </w:lvl>
  </w:abstractNum>
  <w:abstractNum w:abstractNumId="1">
    <w:nsid w:val="7111C560"/>
    <w:multiLevelType w:val="singleLevel"/>
    <w:tmpl w:val="7111C56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NzkzNmFjZjg2ODM5YjMxZWJhZWNlNjE4ZWNlZDcifQ=="/>
  </w:docVars>
  <w:rsids>
    <w:rsidRoot w:val="1A092D90"/>
    <w:rsid w:val="001F7F7E"/>
    <w:rsid w:val="011261F6"/>
    <w:rsid w:val="012E4031"/>
    <w:rsid w:val="04373108"/>
    <w:rsid w:val="05CA273A"/>
    <w:rsid w:val="0EE13396"/>
    <w:rsid w:val="115D65FF"/>
    <w:rsid w:val="140C1BEF"/>
    <w:rsid w:val="195C1961"/>
    <w:rsid w:val="19946E8F"/>
    <w:rsid w:val="1A092D90"/>
    <w:rsid w:val="1BD147EB"/>
    <w:rsid w:val="1F0D390C"/>
    <w:rsid w:val="22524284"/>
    <w:rsid w:val="22EC1A1D"/>
    <w:rsid w:val="24280900"/>
    <w:rsid w:val="2563236B"/>
    <w:rsid w:val="270B6293"/>
    <w:rsid w:val="292518B2"/>
    <w:rsid w:val="2A756869"/>
    <w:rsid w:val="2AD27CC2"/>
    <w:rsid w:val="2B0C7ADF"/>
    <w:rsid w:val="2B6E5792"/>
    <w:rsid w:val="2F017F52"/>
    <w:rsid w:val="32B76771"/>
    <w:rsid w:val="32F60258"/>
    <w:rsid w:val="34055CB9"/>
    <w:rsid w:val="37264D78"/>
    <w:rsid w:val="3CA9640C"/>
    <w:rsid w:val="3D6E41A1"/>
    <w:rsid w:val="422A188F"/>
    <w:rsid w:val="44937BC0"/>
    <w:rsid w:val="4BDF0D63"/>
    <w:rsid w:val="55A439DB"/>
    <w:rsid w:val="56D26326"/>
    <w:rsid w:val="58E97957"/>
    <w:rsid w:val="5A1416D1"/>
    <w:rsid w:val="5E0C4813"/>
    <w:rsid w:val="61C4105F"/>
    <w:rsid w:val="621C430B"/>
    <w:rsid w:val="644A5DE2"/>
    <w:rsid w:val="6C2C74B2"/>
    <w:rsid w:val="6D133608"/>
    <w:rsid w:val="730D0A93"/>
    <w:rsid w:val="74650185"/>
    <w:rsid w:val="7CA725F3"/>
    <w:rsid w:val="7E9E465C"/>
    <w:rsid w:val="7FE04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szCs w:val="24"/>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toc 1"/>
    <w:basedOn w:val="1"/>
    <w:next w:val="1"/>
    <w:unhideWhenUsed/>
    <w:qFormat/>
    <w:uiPriority w:val="99"/>
    <w:pPr>
      <w:ind w:firstLine="640" w:firstLineChars="200"/>
    </w:pPr>
    <w:rPr>
      <w:rFonts w:ascii="黑体" w:hAnsi="黑体" w:eastAsia="黑体"/>
      <w:sz w:val="32"/>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8">
    <w:name w:val="List Paragraph"/>
    <w:basedOn w:val="1"/>
    <w:qFormat/>
    <w:uiPriority w:val="34"/>
    <w:pPr>
      <w:ind w:firstLine="420" w:firstLineChars="200"/>
    </w:pPr>
  </w:style>
  <w:style w:type="paragraph" w:customStyle="1" w:styleId="9">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9031</Words>
  <Characters>9633</Characters>
  <Lines>0</Lines>
  <Paragraphs>0</Paragraphs>
  <TotalTime>2</TotalTime>
  <ScaleCrop>false</ScaleCrop>
  <LinksUpToDate>false</LinksUpToDate>
  <CharactersWithSpaces>9670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2022-11-04T01:15:00Z</dcterms:created>
  <dc:creator>Administrator</dc:creator>
  <cp:lastModifiedBy>惜……</cp:lastModifiedBy>
  <dcterms:modified xsi:type="dcterms:W3CDTF">2022-11-05T06:36:10Z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0FB8D3EC819F4A8C97D70C51F49A3F89</vt:lpwstr>
  </property>
</Properties>
</file>